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D6A9EE">
      <w:pPr>
        <w:keepNext w:val="0"/>
        <w:keepLines w:val="0"/>
        <w:pageBreakBefore w:val="0"/>
        <w:kinsoku/>
        <w:overflowPunct/>
        <w:topLinePunct w:val="0"/>
        <w:bidi w:val="0"/>
        <w:snapToGrid/>
        <w:spacing w:line="600" w:lineRule="exact"/>
        <w:ind w:left="0" w:leftChars="0" w:firstLine="0" w:firstLineChars="0"/>
        <w:jc w:val="center"/>
        <w:textAlignment w:val="auto"/>
        <w:rPr>
          <w:rFonts w:hint="eastAsia" w:ascii="方正小标宋简体" w:hAnsi="宋体" w:eastAsia="方正小标宋简体"/>
          <w:color w:val="auto"/>
          <w:sz w:val="44"/>
          <w:szCs w:val="32"/>
        </w:rPr>
      </w:pPr>
      <w:r>
        <w:rPr>
          <w:rFonts w:hint="eastAsia" w:ascii="方正小标宋简体" w:hAnsi="宋体" w:eastAsia="方正小标宋简体"/>
          <w:color w:val="auto"/>
          <w:sz w:val="44"/>
          <w:szCs w:val="32"/>
        </w:rPr>
        <w:t>团体标准《精神专科医院开放式病房管理规范》</w:t>
      </w:r>
    </w:p>
    <w:p w14:paraId="67EFCAD8">
      <w:pPr>
        <w:keepNext w:val="0"/>
        <w:keepLines w:val="0"/>
        <w:pageBreakBefore w:val="0"/>
        <w:kinsoku/>
        <w:overflowPunct/>
        <w:topLinePunct w:val="0"/>
        <w:bidi w:val="0"/>
        <w:snapToGrid/>
        <w:spacing w:line="600" w:lineRule="exact"/>
        <w:ind w:left="0" w:leftChars="0" w:firstLine="0" w:firstLineChars="0"/>
        <w:jc w:val="center"/>
        <w:textAlignment w:val="auto"/>
        <w:rPr>
          <w:rFonts w:ascii="方正小标宋简体" w:hAnsi="宋体" w:eastAsia="方正小标宋简体"/>
          <w:color w:val="auto"/>
          <w:sz w:val="44"/>
          <w:szCs w:val="32"/>
        </w:rPr>
      </w:pPr>
      <w:r>
        <w:rPr>
          <w:rFonts w:hint="eastAsia" w:ascii="方正小标宋简体" w:hAnsi="宋体" w:eastAsia="方正小标宋简体"/>
          <w:color w:val="auto"/>
          <w:sz w:val="44"/>
          <w:szCs w:val="32"/>
        </w:rPr>
        <w:t>（征求意见稿）编制说明</w:t>
      </w:r>
    </w:p>
    <w:p w14:paraId="7545AED6">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p>
    <w:p w14:paraId="0D5136F0">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一、任务来源、起草单位、主要起草人</w:t>
      </w:r>
    </w:p>
    <w:p w14:paraId="7FB55DF0">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highlight w:val="none"/>
        </w:rPr>
        <w:t>根据《广西标准化协会关于下达20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年第</w:t>
      </w:r>
      <w:r>
        <w:rPr>
          <w:rFonts w:hint="eastAsia" w:ascii="仿宋_GB2312" w:hAnsi="宋体"/>
          <w:color w:val="auto"/>
          <w:sz w:val="32"/>
          <w:szCs w:val="28"/>
          <w:highlight w:val="none"/>
          <w:lang w:val="en-US" w:eastAsia="zh-CN"/>
        </w:rPr>
        <w:t>八</w:t>
      </w:r>
      <w:r>
        <w:rPr>
          <w:rFonts w:hint="eastAsia" w:ascii="仿宋_GB2312" w:hAnsi="宋体" w:eastAsia="仿宋_GB2312"/>
          <w:color w:val="auto"/>
          <w:sz w:val="32"/>
          <w:szCs w:val="28"/>
          <w:highlight w:val="none"/>
        </w:rPr>
        <w:t>批团体标准制修订项目计划的通知》（桂标协〔20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96</w:t>
      </w:r>
      <w:r>
        <w:rPr>
          <w:rFonts w:hint="eastAsia" w:ascii="仿宋_GB2312" w:hAnsi="宋体" w:eastAsia="仿宋_GB2312"/>
          <w:color w:val="auto"/>
          <w:sz w:val="32"/>
          <w:szCs w:val="28"/>
          <w:highlight w:val="none"/>
        </w:rPr>
        <w:t>号）文件精神，由</w:t>
      </w:r>
      <w:r>
        <w:rPr>
          <w:rFonts w:hint="eastAsia" w:ascii="仿宋_GB2312" w:hAnsi="宋体"/>
          <w:color w:val="auto"/>
          <w:sz w:val="32"/>
          <w:szCs w:val="28"/>
          <w:highlight w:val="none"/>
          <w:lang w:val="en-US" w:eastAsia="zh-CN"/>
        </w:rPr>
        <w:t>广西护理学会</w:t>
      </w:r>
      <w:r>
        <w:rPr>
          <w:rFonts w:hint="eastAsia" w:ascii="仿宋_GB2312" w:hAnsi="宋体" w:eastAsia="仿宋_GB2312"/>
          <w:color w:val="auto"/>
          <w:sz w:val="32"/>
          <w:szCs w:val="28"/>
          <w:highlight w:val="none"/>
        </w:rPr>
        <w:t>提出，</w:t>
      </w:r>
      <w:r>
        <w:rPr>
          <w:rFonts w:hint="eastAsia" w:ascii="仿宋_GB2312" w:hAnsi="宋体"/>
          <w:color w:val="auto"/>
          <w:sz w:val="32"/>
          <w:szCs w:val="28"/>
          <w:highlight w:val="none"/>
          <w:lang w:val="en-US" w:eastAsia="zh-CN"/>
        </w:rPr>
        <w:t>广西壮族自治区脑科医院、北京大学第六医院、南京脑科医院、安徽省精神卫生防治中心、广州医科大学附属脑科医院、广西医科大学第二附属医院、重庆市精神卫生中心、内蒙古自治区精神卫生中心(内蒙古自治区第三医院、内蒙古自治区脑科医院)、玉林市荣军优抚医院、南宁市第一人民医院、梧州市第二人民医院、百色市第二人民医院、龙岩市第三医院</w:t>
      </w:r>
      <w:r>
        <w:rPr>
          <w:rFonts w:hint="eastAsia" w:ascii="仿宋_GB2312" w:hAnsi="宋体" w:eastAsia="仿宋_GB2312"/>
          <w:color w:val="auto"/>
          <w:sz w:val="32"/>
          <w:szCs w:val="28"/>
          <w:highlight w:val="none"/>
        </w:rPr>
        <w:t>等</w:t>
      </w:r>
      <w:r>
        <w:rPr>
          <w:rFonts w:ascii="仿宋_GB2312" w:hAnsi="宋体" w:eastAsia="仿宋_GB2312"/>
          <w:color w:val="auto"/>
          <w:sz w:val="32"/>
          <w:szCs w:val="28"/>
          <w:highlight w:val="none"/>
        </w:rPr>
        <w:t>单位</w:t>
      </w:r>
      <w:r>
        <w:rPr>
          <w:rFonts w:hint="eastAsia" w:ascii="仿宋_GB2312" w:hAnsi="宋体" w:eastAsia="仿宋_GB2312"/>
          <w:color w:val="auto"/>
          <w:sz w:val="32"/>
          <w:szCs w:val="28"/>
          <w:highlight w:val="none"/>
        </w:rPr>
        <w:t>共同起草的团体标准《精神专科医院开放式病房管理规范》（项目编号：20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0803</w:t>
      </w:r>
      <w:r>
        <w:rPr>
          <w:rFonts w:hint="eastAsia" w:ascii="仿宋_GB2312" w:hAnsi="宋体" w:eastAsia="仿宋_GB2312"/>
          <w:color w:val="auto"/>
          <w:sz w:val="32"/>
          <w:szCs w:val="28"/>
          <w:highlight w:val="none"/>
        </w:rPr>
        <w:t>）已获批</w:t>
      </w:r>
      <w:r>
        <w:rPr>
          <w:rFonts w:hint="eastAsia" w:ascii="仿宋_GB2312" w:hAnsi="宋体" w:eastAsia="仿宋_GB2312"/>
          <w:color w:val="auto"/>
          <w:sz w:val="32"/>
          <w:szCs w:val="28"/>
        </w:rPr>
        <w:t>立项。</w:t>
      </w:r>
    </w:p>
    <w:p w14:paraId="134AFA4C">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为高质量编制团体标准《</w:t>
      </w:r>
      <w:r>
        <w:rPr>
          <w:rFonts w:hint="eastAsia" w:ascii="仿宋_GB2312" w:hAnsi="宋体" w:eastAsia="仿宋_GB2312"/>
          <w:color w:val="auto"/>
          <w:sz w:val="32"/>
          <w:szCs w:val="28"/>
          <w:highlight w:val="none"/>
        </w:rPr>
        <w:t>精神专科医院开放式病房管理规范</w:t>
      </w:r>
      <w:r>
        <w:rPr>
          <w:rFonts w:hint="eastAsia" w:ascii="仿宋_GB2312" w:hAnsi="宋体" w:eastAsia="仿宋_GB2312"/>
          <w:color w:val="auto"/>
          <w:sz w:val="32"/>
          <w:szCs w:val="28"/>
        </w:rPr>
        <w:t>》，由起草单位成立标准编制工作组并进行如下分工：</w:t>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7"/>
        <w:gridCol w:w="1476"/>
        <w:gridCol w:w="1703"/>
        <w:gridCol w:w="2525"/>
        <w:gridCol w:w="2323"/>
      </w:tblGrid>
      <w:tr w14:paraId="7BC4A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blHeader/>
        </w:trPr>
        <w:tc>
          <w:tcPr>
            <w:tcW w:w="625" w:type="pct"/>
            <w:noWrap w:val="0"/>
            <w:vAlign w:val="center"/>
          </w:tcPr>
          <w:p w14:paraId="53283B23">
            <w:pPr>
              <w:ind w:firstLine="0" w:firstLineChars="0"/>
              <w:jc w:val="center"/>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姓名</w:t>
            </w:r>
          </w:p>
        </w:tc>
        <w:tc>
          <w:tcPr>
            <w:tcW w:w="804" w:type="pct"/>
            <w:noWrap w:val="0"/>
            <w:vAlign w:val="center"/>
          </w:tcPr>
          <w:p w14:paraId="60CF9E04">
            <w:pPr>
              <w:ind w:firstLine="0" w:firstLineChars="0"/>
              <w:jc w:val="center"/>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职务/职称</w:t>
            </w:r>
          </w:p>
        </w:tc>
        <w:tc>
          <w:tcPr>
            <w:tcW w:w="928" w:type="pct"/>
            <w:noWrap w:val="0"/>
            <w:vAlign w:val="center"/>
          </w:tcPr>
          <w:p w14:paraId="0BC323E4">
            <w:pPr>
              <w:ind w:firstLine="0" w:firstLineChars="0"/>
              <w:jc w:val="center"/>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从事专业</w:t>
            </w:r>
          </w:p>
        </w:tc>
        <w:tc>
          <w:tcPr>
            <w:tcW w:w="1376" w:type="pct"/>
            <w:noWrap w:val="0"/>
            <w:vAlign w:val="center"/>
          </w:tcPr>
          <w:p w14:paraId="659F203D">
            <w:pPr>
              <w:ind w:firstLine="0" w:firstLineChars="0"/>
              <w:jc w:val="center"/>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工作单位</w:t>
            </w:r>
          </w:p>
        </w:tc>
        <w:tc>
          <w:tcPr>
            <w:tcW w:w="1266" w:type="pct"/>
            <w:noWrap w:val="0"/>
            <w:vAlign w:val="center"/>
          </w:tcPr>
          <w:p w14:paraId="0CE75157">
            <w:pPr>
              <w:ind w:firstLine="0" w:firstLineChars="0"/>
              <w:jc w:val="center"/>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责任分工</w:t>
            </w:r>
          </w:p>
        </w:tc>
      </w:tr>
      <w:tr w14:paraId="6A9FF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3" w:hRule="atLeast"/>
        </w:trPr>
        <w:tc>
          <w:tcPr>
            <w:tcW w:w="625" w:type="pct"/>
            <w:noWrap w:val="0"/>
            <w:vAlign w:val="center"/>
          </w:tcPr>
          <w:p w14:paraId="71CAD564">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陈美贵</w:t>
            </w:r>
          </w:p>
        </w:tc>
        <w:tc>
          <w:tcPr>
            <w:tcW w:w="804" w:type="pct"/>
            <w:noWrap w:val="0"/>
            <w:vAlign w:val="center"/>
          </w:tcPr>
          <w:p w14:paraId="3981C12F">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护士长/副主任护师</w:t>
            </w:r>
          </w:p>
        </w:tc>
        <w:tc>
          <w:tcPr>
            <w:tcW w:w="928" w:type="pct"/>
            <w:noWrap w:val="0"/>
            <w:vAlign w:val="center"/>
          </w:tcPr>
          <w:p w14:paraId="3062B4A8">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73F6DAD7">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6FD36D3E">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项目统筹</w:t>
            </w:r>
          </w:p>
        </w:tc>
      </w:tr>
      <w:tr w14:paraId="55F0E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2B45E1CC">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覃凤琼</w:t>
            </w:r>
          </w:p>
        </w:tc>
        <w:tc>
          <w:tcPr>
            <w:tcW w:w="804" w:type="pct"/>
            <w:noWrap w:val="0"/>
            <w:vAlign w:val="center"/>
          </w:tcPr>
          <w:p w14:paraId="3FE9EDA9">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护理部主任/主任护师</w:t>
            </w:r>
          </w:p>
        </w:tc>
        <w:tc>
          <w:tcPr>
            <w:tcW w:w="928" w:type="pct"/>
            <w:noWrap w:val="0"/>
            <w:vAlign w:val="center"/>
          </w:tcPr>
          <w:p w14:paraId="0431C27F">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26F7A247">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008F859A">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指导项目设计、立项申报、组织撰写、验收、发布等。</w:t>
            </w:r>
          </w:p>
        </w:tc>
      </w:tr>
      <w:tr w14:paraId="748CC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4E2BB06F">
            <w:pPr>
              <w:ind w:firstLine="0" w:firstLineChars="0"/>
              <w:jc w:val="center"/>
              <w:rPr>
                <w:rFonts w:hint="eastAsia" w:ascii="仿宋_GB2312" w:hAnsi="仿宋_GB2312" w:eastAsia="仿宋_GB2312" w:cs="仿宋_GB2312"/>
                <w:b w:val="0"/>
                <w:bCs w:val="0"/>
                <w:color w:val="auto"/>
                <w:kern w:val="2"/>
                <w:sz w:val="24"/>
                <w:szCs w:val="24"/>
                <w:lang w:val="en-US" w:eastAsia="zh-CN" w:bidi="ar"/>
              </w:rPr>
            </w:pPr>
            <w:r>
              <w:rPr>
                <w:rFonts w:hint="eastAsia" w:ascii="仿宋_GB2312" w:hAnsi="仿宋_GB2312" w:eastAsia="仿宋_GB2312" w:cs="仿宋_GB2312"/>
                <w:b w:val="0"/>
                <w:bCs w:val="0"/>
                <w:color w:val="auto"/>
                <w:kern w:val="2"/>
                <w:sz w:val="24"/>
                <w:szCs w:val="24"/>
                <w:lang w:val="en-US" w:eastAsia="zh-CN" w:bidi="ar"/>
              </w:rPr>
              <w:t>黄欣</w:t>
            </w:r>
          </w:p>
        </w:tc>
        <w:tc>
          <w:tcPr>
            <w:tcW w:w="804" w:type="pct"/>
            <w:noWrap w:val="0"/>
            <w:vAlign w:val="center"/>
          </w:tcPr>
          <w:p w14:paraId="5DDFBA78">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护理部干事/主管护师</w:t>
            </w:r>
          </w:p>
        </w:tc>
        <w:tc>
          <w:tcPr>
            <w:tcW w:w="928" w:type="pct"/>
            <w:noWrap w:val="0"/>
            <w:vAlign w:val="center"/>
          </w:tcPr>
          <w:p w14:paraId="786CDAD5">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000CFE37">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7EF4E661">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指导项目设计、立项申报、参与撰写等</w:t>
            </w:r>
          </w:p>
        </w:tc>
      </w:tr>
      <w:tr w14:paraId="57505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16BB5F48">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邓金兰</w:t>
            </w:r>
          </w:p>
        </w:tc>
        <w:tc>
          <w:tcPr>
            <w:tcW w:w="804" w:type="pct"/>
            <w:noWrap w:val="0"/>
            <w:vAlign w:val="center"/>
          </w:tcPr>
          <w:p w14:paraId="35BCC6BE">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护士长/副主任护师</w:t>
            </w:r>
          </w:p>
        </w:tc>
        <w:tc>
          <w:tcPr>
            <w:tcW w:w="928" w:type="pct"/>
            <w:noWrap w:val="0"/>
            <w:vAlign w:val="center"/>
          </w:tcPr>
          <w:p w14:paraId="2387EF0A">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4157401B">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43A2F03C">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指导项目设计、立项申报、参与撰写等。</w:t>
            </w:r>
          </w:p>
        </w:tc>
      </w:tr>
      <w:tr w14:paraId="0D43E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695CA629">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覃正斌</w:t>
            </w:r>
          </w:p>
        </w:tc>
        <w:tc>
          <w:tcPr>
            <w:tcW w:w="804" w:type="pct"/>
            <w:noWrap w:val="0"/>
            <w:vAlign w:val="center"/>
          </w:tcPr>
          <w:p w14:paraId="3C0B9345">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护士长/主管护师</w:t>
            </w:r>
          </w:p>
        </w:tc>
        <w:tc>
          <w:tcPr>
            <w:tcW w:w="928" w:type="pct"/>
            <w:noWrap w:val="0"/>
            <w:vAlign w:val="center"/>
          </w:tcPr>
          <w:p w14:paraId="7CFFF6B5">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护理</w:t>
            </w:r>
          </w:p>
        </w:tc>
        <w:tc>
          <w:tcPr>
            <w:tcW w:w="1376" w:type="pct"/>
            <w:noWrap w:val="0"/>
            <w:vAlign w:val="center"/>
          </w:tcPr>
          <w:p w14:paraId="3FC26007">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38EE90B0">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指导项目设计、立项申报、参与撰写等。</w:t>
            </w:r>
          </w:p>
        </w:tc>
      </w:tr>
      <w:tr w14:paraId="169B0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399CA2BA">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管淑华</w:t>
            </w:r>
          </w:p>
        </w:tc>
        <w:tc>
          <w:tcPr>
            <w:tcW w:w="804" w:type="pct"/>
            <w:noWrap w:val="0"/>
            <w:vAlign w:val="center"/>
          </w:tcPr>
          <w:p w14:paraId="64596ECF">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护士长/主管护师</w:t>
            </w:r>
          </w:p>
        </w:tc>
        <w:tc>
          <w:tcPr>
            <w:tcW w:w="928" w:type="pct"/>
            <w:noWrap w:val="0"/>
            <w:vAlign w:val="center"/>
          </w:tcPr>
          <w:p w14:paraId="6DAC8B90">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0A24295B">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1000F86B">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数据资料收集、标准起草、撰写。</w:t>
            </w:r>
          </w:p>
        </w:tc>
      </w:tr>
      <w:tr w14:paraId="02C97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3353F35F">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罗兰芳</w:t>
            </w:r>
          </w:p>
        </w:tc>
        <w:tc>
          <w:tcPr>
            <w:tcW w:w="804" w:type="pct"/>
            <w:noWrap w:val="0"/>
            <w:vAlign w:val="center"/>
          </w:tcPr>
          <w:p w14:paraId="28BD0E84">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护士长/副主任护师</w:t>
            </w:r>
          </w:p>
        </w:tc>
        <w:tc>
          <w:tcPr>
            <w:tcW w:w="928" w:type="pct"/>
            <w:noWrap w:val="0"/>
            <w:vAlign w:val="center"/>
          </w:tcPr>
          <w:p w14:paraId="409A3317">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6917932A">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4C5CD23B">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数据资料收集、标准起草、撰写。</w:t>
            </w:r>
          </w:p>
        </w:tc>
      </w:tr>
      <w:tr w14:paraId="744BF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265838FB">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覃海萍</w:t>
            </w:r>
          </w:p>
        </w:tc>
        <w:tc>
          <w:tcPr>
            <w:tcW w:w="804" w:type="pct"/>
            <w:noWrap w:val="0"/>
            <w:vAlign w:val="center"/>
          </w:tcPr>
          <w:p w14:paraId="50B31F48">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护士长/副主任护师</w:t>
            </w:r>
          </w:p>
        </w:tc>
        <w:tc>
          <w:tcPr>
            <w:tcW w:w="928" w:type="pct"/>
            <w:noWrap w:val="0"/>
            <w:vAlign w:val="center"/>
          </w:tcPr>
          <w:p w14:paraId="1214F883">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662C7ED0">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4D5C9F4E">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数据资料收集、标准起草、撰写。</w:t>
            </w:r>
          </w:p>
        </w:tc>
      </w:tr>
      <w:tr w14:paraId="53F54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4B0F6329">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叶凡佩</w:t>
            </w:r>
          </w:p>
        </w:tc>
        <w:tc>
          <w:tcPr>
            <w:tcW w:w="804" w:type="pct"/>
            <w:noWrap w:val="0"/>
            <w:vAlign w:val="center"/>
          </w:tcPr>
          <w:p w14:paraId="115B21D8">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精防办副主任/副主任医师</w:t>
            </w:r>
          </w:p>
        </w:tc>
        <w:tc>
          <w:tcPr>
            <w:tcW w:w="928" w:type="pct"/>
            <w:noWrap w:val="0"/>
            <w:vAlign w:val="center"/>
          </w:tcPr>
          <w:p w14:paraId="21E4887B">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医疗</w:t>
            </w:r>
          </w:p>
        </w:tc>
        <w:tc>
          <w:tcPr>
            <w:tcW w:w="1376" w:type="pct"/>
            <w:noWrap w:val="0"/>
            <w:vAlign w:val="center"/>
          </w:tcPr>
          <w:p w14:paraId="2EC7A221">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02E6820E">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数据资料收集、标准起草、撰写。</w:t>
            </w:r>
          </w:p>
        </w:tc>
      </w:tr>
      <w:tr w14:paraId="5F3EC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3285D6C9">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杨盼</w:t>
            </w:r>
          </w:p>
        </w:tc>
        <w:tc>
          <w:tcPr>
            <w:tcW w:w="804" w:type="pct"/>
            <w:noWrap w:val="0"/>
            <w:vAlign w:val="center"/>
          </w:tcPr>
          <w:p w14:paraId="61E05461">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科主任/副主任医师</w:t>
            </w:r>
          </w:p>
        </w:tc>
        <w:tc>
          <w:tcPr>
            <w:tcW w:w="928" w:type="pct"/>
            <w:noWrap w:val="0"/>
            <w:vAlign w:val="center"/>
          </w:tcPr>
          <w:p w14:paraId="6DCB4CBB">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医疗</w:t>
            </w:r>
          </w:p>
        </w:tc>
        <w:tc>
          <w:tcPr>
            <w:tcW w:w="1376" w:type="pct"/>
            <w:noWrap w:val="0"/>
            <w:vAlign w:val="center"/>
          </w:tcPr>
          <w:p w14:paraId="47B10B27">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5F399424">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标准实施宣贯、培训</w:t>
            </w:r>
          </w:p>
        </w:tc>
      </w:tr>
      <w:tr w14:paraId="7091B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11031E4F">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韦为</w:t>
            </w:r>
          </w:p>
        </w:tc>
        <w:tc>
          <w:tcPr>
            <w:tcW w:w="804" w:type="pct"/>
            <w:noWrap w:val="0"/>
            <w:vAlign w:val="center"/>
          </w:tcPr>
          <w:p w14:paraId="60B208C6">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科主任/主治医师</w:t>
            </w:r>
          </w:p>
        </w:tc>
        <w:tc>
          <w:tcPr>
            <w:tcW w:w="928" w:type="pct"/>
            <w:noWrap w:val="0"/>
            <w:vAlign w:val="center"/>
          </w:tcPr>
          <w:p w14:paraId="1DCA6DAB">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医疗</w:t>
            </w:r>
          </w:p>
        </w:tc>
        <w:tc>
          <w:tcPr>
            <w:tcW w:w="1376" w:type="pct"/>
            <w:noWrap w:val="0"/>
            <w:vAlign w:val="center"/>
          </w:tcPr>
          <w:p w14:paraId="4F26D00B">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796095D2">
            <w:pPr>
              <w:ind w:firstLine="0" w:firstLineChars="0"/>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标准实施宣贯、培训</w:t>
            </w:r>
          </w:p>
        </w:tc>
      </w:tr>
      <w:tr w14:paraId="28C85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0271B876">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王智</w:t>
            </w:r>
          </w:p>
        </w:tc>
        <w:tc>
          <w:tcPr>
            <w:tcW w:w="804" w:type="pct"/>
            <w:noWrap w:val="0"/>
            <w:vAlign w:val="center"/>
          </w:tcPr>
          <w:p w14:paraId="146E99AE">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主治医师</w:t>
            </w:r>
          </w:p>
        </w:tc>
        <w:tc>
          <w:tcPr>
            <w:tcW w:w="928" w:type="pct"/>
            <w:noWrap w:val="0"/>
            <w:vAlign w:val="center"/>
          </w:tcPr>
          <w:p w14:paraId="7C98C17E">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医疗</w:t>
            </w:r>
          </w:p>
        </w:tc>
        <w:tc>
          <w:tcPr>
            <w:tcW w:w="1376" w:type="pct"/>
            <w:noWrap w:val="0"/>
            <w:vAlign w:val="center"/>
          </w:tcPr>
          <w:p w14:paraId="3BB11066">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广西壮族壮族自治区脑科医院</w:t>
            </w:r>
          </w:p>
        </w:tc>
        <w:tc>
          <w:tcPr>
            <w:tcW w:w="1266" w:type="pct"/>
            <w:noWrap w:val="0"/>
            <w:vAlign w:val="center"/>
          </w:tcPr>
          <w:p w14:paraId="24EA8157">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标准实施宣贯、培训</w:t>
            </w:r>
          </w:p>
        </w:tc>
      </w:tr>
      <w:tr w14:paraId="2B075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12F1A664">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王涌</w:t>
            </w:r>
          </w:p>
        </w:tc>
        <w:tc>
          <w:tcPr>
            <w:tcW w:w="804" w:type="pct"/>
            <w:noWrap w:val="0"/>
            <w:vAlign w:val="center"/>
          </w:tcPr>
          <w:p w14:paraId="5B07E37E">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副主任护师</w:t>
            </w:r>
          </w:p>
        </w:tc>
        <w:tc>
          <w:tcPr>
            <w:tcW w:w="928" w:type="pct"/>
            <w:noWrap w:val="0"/>
            <w:vAlign w:val="center"/>
          </w:tcPr>
          <w:p w14:paraId="1B646348">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23754756">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北京大学第六医院</w:t>
            </w:r>
          </w:p>
        </w:tc>
        <w:tc>
          <w:tcPr>
            <w:tcW w:w="1266" w:type="pct"/>
            <w:noWrap w:val="0"/>
            <w:vAlign w:val="center"/>
          </w:tcPr>
          <w:p w14:paraId="2C11BF7A">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r w14:paraId="3E026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59F255C9">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张燕红</w:t>
            </w:r>
          </w:p>
        </w:tc>
        <w:tc>
          <w:tcPr>
            <w:tcW w:w="804" w:type="pct"/>
            <w:noWrap w:val="0"/>
            <w:vAlign w:val="center"/>
          </w:tcPr>
          <w:p w14:paraId="5FE7FDE5">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主任护师</w:t>
            </w:r>
          </w:p>
        </w:tc>
        <w:tc>
          <w:tcPr>
            <w:tcW w:w="928" w:type="pct"/>
            <w:noWrap w:val="0"/>
            <w:vAlign w:val="center"/>
          </w:tcPr>
          <w:p w14:paraId="0F3124B8">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5A086F03">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南京脑科医院</w:t>
            </w:r>
          </w:p>
        </w:tc>
        <w:tc>
          <w:tcPr>
            <w:tcW w:w="1266" w:type="pct"/>
            <w:noWrap w:val="0"/>
            <w:vAlign w:val="center"/>
          </w:tcPr>
          <w:p w14:paraId="455D4A39">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r w14:paraId="4F51D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19A2AA36">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陈娟</w:t>
            </w:r>
          </w:p>
        </w:tc>
        <w:tc>
          <w:tcPr>
            <w:tcW w:w="804" w:type="pct"/>
            <w:noWrap w:val="0"/>
            <w:vAlign w:val="center"/>
          </w:tcPr>
          <w:p w14:paraId="2B430BD3">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副主任护师</w:t>
            </w:r>
          </w:p>
        </w:tc>
        <w:tc>
          <w:tcPr>
            <w:tcW w:w="928" w:type="pct"/>
            <w:noWrap w:val="0"/>
            <w:vAlign w:val="center"/>
          </w:tcPr>
          <w:p w14:paraId="5FFAEC65">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4152AF70">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安徽省精神卫生防治中心</w:t>
            </w:r>
          </w:p>
        </w:tc>
        <w:tc>
          <w:tcPr>
            <w:tcW w:w="1266" w:type="pct"/>
            <w:noWrap w:val="0"/>
            <w:vAlign w:val="center"/>
          </w:tcPr>
          <w:p w14:paraId="49C4924B">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r w14:paraId="7C9A8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1F82D18A">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叶君荣</w:t>
            </w:r>
          </w:p>
        </w:tc>
        <w:tc>
          <w:tcPr>
            <w:tcW w:w="804" w:type="pct"/>
            <w:noWrap w:val="0"/>
            <w:vAlign w:val="center"/>
          </w:tcPr>
          <w:p w14:paraId="56652047">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副主任护师</w:t>
            </w:r>
          </w:p>
        </w:tc>
        <w:tc>
          <w:tcPr>
            <w:tcW w:w="928" w:type="pct"/>
            <w:noWrap w:val="0"/>
            <w:vAlign w:val="center"/>
          </w:tcPr>
          <w:p w14:paraId="0F1F4C67">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55A0CA7A">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广州医科大学附属脑科医院</w:t>
            </w:r>
          </w:p>
        </w:tc>
        <w:tc>
          <w:tcPr>
            <w:tcW w:w="1266" w:type="pct"/>
            <w:noWrap w:val="0"/>
            <w:vAlign w:val="center"/>
          </w:tcPr>
          <w:p w14:paraId="7C2E74DB">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r w14:paraId="3334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4921A6FA">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刘倩莉</w:t>
            </w:r>
          </w:p>
        </w:tc>
        <w:tc>
          <w:tcPr>
            <w:tcW w:w="804" w:type="pct"/>
            <w:noWrap w:val="0"/>
            <w:vAlign w:val="center"/>
          </w:tcPr>
          <w:p w14:paraId="0F47E44D">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主管护师</w:t>
            </w:r>
          </w:p>
        </w:tc>
        <w:tc>
          <w:tcPr>
            <w:tcW w:w="928" w:type="pct"/>
            <w:noWrap w:val="0"/>
            <w:vAlign w:val="center"/>
          </w:tcPr>
          <w:p w14:paraId="12F4FBA6">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67D91D60">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广西医科大学第二附属医院</w:t>
            </w:r>
          </w:p>
        </w:tc>
        <w:tc>
          <w:tcPr>
            <w:tcW w:w="1266" w:type="pct"/>
            <w:noWrap w:val="0"/>
            <w:vAlign w:val="center"/>
          </w:tcPr>
          <w:p w14:paraId="76BBAF0D">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r w14:paraId="778DD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4E18290C">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杨波</w:t>
            </w:r>
          </w:p>
        </w:tc>
        <w:tc>
          <w:tcPr>
            <w:tcW w:w="804" w:type="pct"/>
            <w:noWrap w:val="0"/>
            <w:vAlign w:val="center"/>
          </w:tcPr>
          <w:p w14:paraId="50F855DE">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主任护师</w:t>
            </w:r>
          </w:p>
        </w:tc>
        <w:tc>
          <w:tcPr>
            <w:tcW w:w="928" w:type="pct"/>
            <w:noWrap w:val="0"/>
            <w:vAlign w:val="center"/>
          </w:tcPr>
          <w:p w14:paraId="6E7A2ECF">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68E5C1F8">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重庆市精神卫生中心</w:t>
            </w:r>
          </w:p>
        </w:tc>
        <w:tc>
          <w:tcPr>
            <w:tcW w:w="1266" w:type="pct"/>
            <w:noWrap w:val="0"/>
            <w:vAlign w:val="center"/>
          </w:tcPr>
          <w:p w14:paraId="4BE5D0D5">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r w14:paraId="537C2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4197CF87">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王海燕</w:t>
            </w:r>
          </w:p>
        </w:tc>
        <w:tc>
          <w:tcPr>
            <w:tcW w:w="804" w:type="pct"/>
            <w:noWrap w:val="0"/>
            <w:vAlign w:val="center"/>
          </w:tcPr>
          <w:p w14:paraId="5FC28FAE">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主任护师</w:t>
            </w:r>
          </w:p>
        </w:tc>
        <w:tc>
          <w:tcPr>
            <w:tcW w:w="928" w:type="pct"/>
            <w:noWrap w:val="0"/>
            <w:vAlign w:val="center"/>
          </w:tcPr>
          <w:p w14:paraId="20BDD8B9">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5CDA7FBF">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内蒙古自治区脑科医院（精神卫生中心）</w:t>
            </w:r>
          </w:p>
        </w:tc>
        <w:tc>
          <w:tcPr>
            <w:tcW w:w="1266" w:type="pct"/>
            <w:noWrap w:val="0"/>
            <w:vAlign w:val="center"/>
          </w:tcPr>
          <w:p w14:paraId="38750EC5">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r w14:paraId="2DFFF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384E8323">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黄芳</w:t>
            </w:r>
          </w:p>
        </w:tc>
        <w:tc>
          <w:tcPr>
            <w:tcW w:w="804" w:type="pct"/>
            <w:noWrap w:val="0"/>
            <w:vAlign w:val="center"/>
          </w:tcPr>
          <w:p w14:paraId="54FC99E3">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副主任护师</w:t>
            </w:r>
          </w:p>
        </w:tc>
        <w:tc>
          <w:tcPr>
            <w:tcW w:w="928" w:type="pct"/>
            <w:noWrap w:val="0"/>
            <w:vAlign w:val="center"/>
          </w:tcPr>
          <w:p w14:paraId="5EFDEAEA">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3E2FE077">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玉林市荣军优抚医院</w:t>
            </w:r>
          </w:p>
        </w:tc>
        <w:tc>
          <w:tcPr>
            <w:tcW w:w="1266" w:type="pct"/>
            <w:noWrap w:val="0"/>
            <w:vAlign w:val="center"/>
          </w:tcPr>
          <w:p w14:paraId="382EF538">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r w14:paraId="52FAE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6B9E3747">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周爱金</w:t>
            </w:r>
          </w:p>
        </w:tc>
        <w:tc>
          <w:tcPr>
            <w:tcW w:w="804" w:type="pct"/>
            <w:noWrap w:val="0"/>
            <w:vAlign w:val="center"/>
          </w:tcPr>
          <w:p w14:paraId="0F3A38D9">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副主任护师</w:t>
            </w:r>
          </w:p>
        </w:tc>
        <w:tc>
          <w:tcPr>
            <w:tcW w:w="928" w:type="pct"/>
            <w:noWrap w:val="0"/>
            <w:vAlign w:val="center"/>
          </w:tcPr>
          <w:p w14:paraId="3694D325">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700DE7E1">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南宁市第一人民医院</w:t>
            </w:r>
          </w:p>
        </w:tc>
        <w:tc>
          <w:tcPr>
            <w:tcW w:w="1266" w:type="pct"/>
            <w:noWrap w:val="0"/>
            <w:vAlign w:val="center"/>
          </w:tcPr>
          <w:p w14:paraId="0E29D038">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r w14:paraId="3B85A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625" w:type="pct"/>
            <w:noWrap w:val="0"/>
            <w:vAlign w:val="center"/>
          </w:tcPr>
          <w:p w14:paraId="46BD819A">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苏卉</w:t>
            </w:r>
          </w:p>
        </w:tc>
        <w:tc>
          <w:tcPr>
            <w:tcW w:w="804" w:type="pct"/>
            <w:noWrap w:val="0"/>
            <w:vAlign w:val="center"/>
          </w:tcPr>
          <w:p w14:paraId="2471C379">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主管护师</w:t>
            </w:r>
          </w:p>
        </w:tc>
        <w:tc>
          <w:tcPr>
            <w:tcW w:w="928" w:type="pct"/>
            <w:noWrap w:val="0"/>
            <w:vAlign w:val="center"/>
          </w:tcPr>
          <w:p w14:paraId="68635D93">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0362942E">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梧州市第二人民医院</w:t>
            </w:r>
          </w:p>
        </w:tc>
        <w:tc>
          <w:tcPr>
            <w:tcW w:w="1266" w:type="pct"/>
            <w:noWrap w:val="0"/>
            <w:vAlign w:val="center"/>
          </w:tcPr>
          <w:p w14:paraId="54D78BD7">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r w14:paraId="011CF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2B72EA58">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黄妹青</w:t>
            </w:r>
          </w:p>
        </w:tc>
        <w:tc>
          <w:tcPr>
            <w:tcW w:w="804" w:type="pct"/>
            <w:noWrap w:val="0"/>
            <w:vAlign w:val="center"/>
          </w:tcPr>
          <w:p w14:paraId="1E8563DB">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主任护师</w:t>
            </w:r>
          </w:p>
        </w:tc>
        <w:tc>
          <w:tcPr>
            <w:tcW w:w="928" w:type="pct"/>
            <w:noWrap w:val="0"/>
            <w:vAlign w:val="center"/>
          </w:tcPr>
          <w:p w14:paraId="61D42776">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248F5E3E">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百色市第二人民医院</w:t>
            </w:r>
          </w:p>
        </w:tc>
        <w:tc>
          <w:tcPr>
            <w:tcW w:w="1266" w:type="pct"/>
            <w:noWrap w:val="0"/>
            <w:vAlign w:val="center"/>
          </w:tcPr>
          <w:p w14:paraId="3B2B8D53">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r w14:paraId="4B62E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noWrap w:val="0"/>
            <w:vAlign w:val="center"/>
          </w:tcPr>
          <w:p w14:paraId="3E3ED11A">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张才祥</w:t>
            </w:r>
          </w:p>
        </w:tc>
        <w:tc>
          <w:tcPr>
            <w:tcW w:w="804" w:type="pct"/>
            <w:noWrap w:val="0"/>
            <w:vAlign w:val="center"/>
          </w:tcPr>
          <w:p w14:paraId="4E1F42DF">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副主任护师</w:t>
            </w:r>
          </w:p>
        </w:tc>
        <w:tc>
          <w:tcPr>
            <w:tcW w:w="928" w:type="pct"/>
            <w:noWrap w:val="0"/>
            <w:vAlign w:val="center"/>
          </w:tcPr>
          <w:p w14:paraId="3E70F491">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sz w:val="24"/>
                <w:szCs w:val="24"/>
                <w:lang w:val="en-US" w:eastAsia="zh-CN"/>
              </w:rPr>
              <w:t>护理</w:t>
            </w:r>
          </w:p>
        </w:tc>
        <w:tc>
          <w:tcPr>
            <w:tcW w:w="1376" w:type="pct"/>
            <w:noWrap w:val="0"/>
            <w:vAlign w:val="center"/>
          </w:tcPr>
          <w:p w14:paraId="519A2E6A">
            <w:pPr>
              <w:ind w:firstLine="0" w:firstLineChars="0"/>
              <w:jc w:val="center"/>
              <w:rPr>
                <w:rFonts w:hint="eastAsia" w:ascii="仿宋_GB2312" w:hAnsi="仿宋_GB2312" w:eastAsia="仿宋_GB2312" w:cs="仿宋_GB2312"/>
                <w:b w:val="0"/>
                <w:bCs w:val="0"/>
                <w:color w:val="auto"/>
                <w:kern w:val="2"/>
                <w:sz w:val="24"/>
                <w:szCs w:val="24"/>
                <w:lang w:val="en-US" w:eastAsia="zh-CN" w:bidi="ar-SA"/>
              </w:rPr>
            </w:pPr>
            <w:r>
              <w:rPr>
                <w:rFonts w:hint="eastAsia" w:ascii="仿宋_GB2312" w:hAnsi="仿宋_GB2312" w:eastAsia="仿宋_GB2312" w:cs="仿宋_GB2312"/>
                <w:b w:val="0"/>
                <w:bCs w:val="0"/>
                <w:color w:val="auto"/>
                <w:kern w:val="2"/>
                <w:sz w:val="24"/>
                <w:szCs w:val="24"/>
                <w:lang w:val="en-US" w:eastAsia="zh-CN" w:bidi="ar-SA"/>
              </w:rPr>
              <w:t>龙岩市第三医院</w:t>
            </w:r>
          </w:p>
        </w:tc>
        <w:tc>
          <w:tcPr>
            <w:tcW w:w="1266" w:type="pct"/>
            <w:noWrap w:val="0"/>
            <w:vAlign w:val="center"/>
          </w:tcPr>
          <w:p w14:paraId="56E90254">
            <w:pPr>
              <w:ind w:firstLine="0" w:firstLineChars="0"/>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标准起草、实施宣贯、培训</w:t>
            </w:r>
          </w:p>
        </w:tc>
      </w:tr>
    </w:tbl>
    <w:p w14:paraId="6BE1CEB3">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二、制定标准的必要性和意义</w:t>
      </w:r>
    </w:p>
    <w:p w14:paraId="50C39573">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2025年4月，《关于开展“儿科和精神卫生服务年”行动(2025-2027年)的通知》(国卫医政函(2025)93号)指出，要加大精神专科医院和综合医院精神科及中医医院精神相关科室建设力度，尚未设置精神专科医院的省、地市应在“十五五”期间完成设置并提供诊疗服务，及时填补服务体系“空白点”。鼓励将中医医院、儿童医院、妇幼保健院、职业病防治院(所)等统筹纳入精神卫生服务体系建设。不断加大对国家精神疾病医学中心和区域医疗中心建设的支持力度，发挥其辐射带动和指导引领作用。在推进临床重点专科和中医优势专科建设工作中，优先将精神专科纳入建设项目范围。加强精神相关专科集群建设。</w:t>
      </w:r>
    </w:p>
    <w:p w14:paraId="37051F13">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精神专科医院的开放式病房是一种不实行封闭式管理的特殊病房模式，主要面向病情稳定、自愿接受治疗且无自伤/伤人风险的患者。区别于传统病房，开放式病房核心在于在保障医疗安全和治疗效果的前提下尽量赋予患者更大的行动自由度，为患者创造宽松、舒适的环境，帮助患者尽快回归正常生活。2024年6月18日《广西壮族自治区精神卫生条例》新闻发布会，近年来广西在册管理严重精神障碍患者人数逐年上升，按照目前统计的人数估算，涉及十多万个家庭的特殊群体。针对广西精神卫生工作存在的一些突出问题，有必要通过地方立法进一步规范和完善我区精神卫生服务，对心理健康促进和精神障碍预防、精神障碍的诊断和治疗、精神障碍患者的服务和管理、保障措施等方面作出具体明确规定。</w:t>
      </w:r>
    </w:p>
    <w:p w14:paraId="3A8D9F25">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开放式病房相较于封闭式病房，在精神专科治疗中具有显著优势:环境更人性化，患者享有更高自由度，科减少心理压力;治疗方式更综合，结合药物、心理干预和团体活动，疗效提升且复发率降低;社会功能恢复更快，患者能逐步适应外界，降低病耻感;费用更低廉，适合轻中度且病情稳定的患者。</w:t>
      </w:r>
    </w:p>
    <w:p w14:paraId="51872C94">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color w:val="auto"/>
          <w:sz w:val="32"/>
          <w:szCs w:val="28"/>
          <w:lang w:eastAsia="zh-CN"/>
        </w:rPr>
      </w:pPr>
      <w:r>
        <w:rPr>
          <w:rFonts w:hint="eastAsia" w:ascii="仿宋_GB2312" w:hAnsi="宋体" w:eastAsia="仿宋_GB2312"/>
          <w:color w:val="auto"/>
          <w:sz w:val="32"/>
          <w:szCs w:val="28"/>
        </w:rPr>
        <w:t>广西壮族自治区脑科医院自2004年起开设精神科开放式病区，后续根据医院实际发展及病患情况逐渐增设包含成人、儿少、睡眠、心身等在内的开放病区。截至目前，全院开放式病房总共11个。2016年收治病患约2400人次，随着开放式病房管理的不断完善，每年收治患者能力不断增强，收治人数由2020年的3000余人次逐步增长至2024年的近8000人次，且治愈及好转率由2020年的96.64%逐步增长到2024年的97.94%，可见精神专科医院开放式病房对于病患的恢复具有积极作用。广西壮族自治区脑科医院多年的临床实践经验，也为精神专科医院开放式病房管理提供了有效的借鉴</w:t>
      </w:r>
      <w:r>
        <w:rPr>
          <w:rFonts w:hint="eastAsia" w:ascii="仿宋_GB2312" w:hAnsi="宋体"/>
          <w:color w:val="auto"/>
          <w:sz w:val="32"/>
          <w:szCs w:val="28"/>
          <w:lang w:eastAsia="zh-CN"/>
        </w:rPr>
        <w:t>。</w:t>
      </w:r>
    </w:p>
    <w:p w14:paraId="4DA134D7">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color w:val="auto"/>
          <w:szCs w:val="28"/>
        </w:rPr>
      </w:pPr>
      <w:r>
        <w:rPr>
          <w:rFonts w:hint="eastAsia" w:ascii="仿宋_GB2312" w:hAnsi="宋体"/>
          <w:color w:val="auto"/>
          <w:szCs w:val="28"/>
        </w:rPr>
        <w:t>然而，目前对开放式病房的管理多为原则性要求，缺乏细化操作规范。例如《中华人民共和国精神卫生法》强调患者社会功能恢复与尊严保护，但未明确开放式病房的具体管理流程;《精神专科医院建设标准》《精神障碍诊疗规范》等文件要求精神专科医院设置开放式病房，但未对</w:t>
      </w:r>
    </w:p>
    <w:p w14:paraId="53320B6B">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宋体" w:eastAsia="仿宋_GB2312"/>
          <w:color w:val="auto"/>
          <w:sz w:val="32"/>
          <w:szCs w:val="28"/>
        </w:rPr>
      </w:pPr>
      <w:r>
        <w:rPr>
          <w:rFonts w:hint="eastAsia" w:ascii="仿宋_GB2312" w:hAnsi="宋体"/>
          <w:color w:val="auto"/>
          <w:szCs w:val="28"/>
        </w:rPr>
        <w:t>其环境设计、人员配置、风险防控等核心环节提出具体技术指标。综上所述，制定高质量团体标准标准《精神专科医院开放式病房管理规范》，以规范环境建设、人员配置、风险防控等核心环节，解决因管理尺度不一导致的安全隐患，对平衡患者自由与安全、提升康复效果，推动精神卫生服务高质量发展具有重要意义。因此制定团体标准《精神专科医院开放式病房管理规范》很有必要且非常紧迫。</w:t>
      </w:r>
    </w:p>
    <w:p w14:paraId="64CFA7E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三、主要起草过程</w:t>
      </w:r>
    </w:p>
    <w:p w14:paraId="0D6A5644">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olor w:val="auto"/>
          <w:sz w:val="32"/>
          <w:szCs w:val="28"/>
        </w:rPr>
      </w:pPr>
      <w:r>
        <w:rPr>
          <w:rFonts w:hint="eastAsia" w:ascii="楷体" w:hAnsi="楷体" w:eastAsia="楷体" w:cs="仿宋_GB2312"/>
          <w:b/>
          <w:color w:val="auto"/>
          <w:sz w:val="32"/>
          <w:szCs w:val="28"/>
        </w:rPr>
        <w:t>（一）成立标准编制工作组</w:t>
      </w:r>
    </w:p>
    <w:p w14:paraId="437C2B6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团体标准《精神专科医院开放式病房管理规范》项目任务下达后</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广西壮族自治区脑科医院</w:t>
      </w:r>
      <w:r>
        <w:rPr>
          <w:rFonts w:hint="eastAsia" w:ascii="仿宋_GB2312" w:hAnsi="宋体" w:eastAsia="仿宋_GB2312"/>
          <w:color w:val="auto"/>
          <w:sz w:val="32"/>
          <w:szCs w:val="28"/>
          <w:highlight w:val="none"/>
        </w:rPr>
        <w:t>成立了标准编制工作组，</w:t>
      </w:r>
      <w:r>
        <w:rPr>
          <w:rFonts w:hint="eastAsia" w:ascii="仿宋_GB2312" w:hAnsi="宋体"/>
          <w:color w:val="auto"/>
          <w:sz w:val="32"/>
          <w:szCs w:val="28"/>
          <w:highlight w:val="none"/>
          <w:lang w:val="en-US" w:eastAsia="zh-CN"/>
        </w:rPr>
        <w:t>并</w:t>
      </w:r>
      <w:r>
        <w:rPr>
          <w:rFonts w:hint="eastAsia" w:ascii="仿宋_GB2312" w:hAnsi="宋体" w:eastAsia="仿宋_GB2312"/>
          <w:color w:val="auto"/>
          <w:sz w:val="32"/>
          <w:szCs w:val="28"/>
          <w:highlight w:val="none"/>
        </w:rPr>
        <w:t>制定了起草编写方案与进度安排，明确任务职责，确定工作技术路线，开展标准研制工作。具体标准编制工作由</w:t>
      </w:r>
      <w:r>
        <w:rPr>
          <w:rFonts w:hint="eastAsia" w:ascii="仿宋_GB2312" w:hAnsi="宋体"/>
          <w:color w:val="auto"/>
          <w:sz w:val="32"/>
          <w:szCs w:val="28"/>
          <w:highlight w:val="none"/>
          <w:lang w:val="en-US" w:eastAsia="zh-CN"/>
        </w:rPr>
        <w:t>广西壮族自治区脑科医院、北京大学第六医院、南京脑科医院、安徽省精神卫生防治中心、广州医科大学附属脑科医院、广西医科大学第二附属医院、重庆市精神卫生中心、内蒙古自治区精神卫生中心(内蒙古自治区第三医院、内蒙古自治区脑科医院)、玉林市荣军优抚医院、南宁市第一人民医院、梧州市第二人民医院、百色市第二人民医院、龙岩市第三医院</w:t>
      </w:r>
      <w:r>
        <w:rPr>
          <w:rFonts w:hint="eastAsia" w:ascii="仿宋_GB2312" w:hAnsi="宋体" w:eastAsia="仿宋_GB2312"/>
          <w:color w:val="auto"/>
          <w:sz w:val="32"/>
          <w:szCs w:val="28"/>
          <w:highlight w:val="none"/>
        </w:rPr>
        <w:t>等单位负责人组成的标</w:t>
      </w:r>
      <w:r>
        <w:rPr>
          <w:rFonts w:hint="eastAsia" w:ascii="仿宋_GB2312" w:hAnsi="宋体" w:eastAsia="仿宋_GB2312"/>
          <w:color w:val="auto"/>
          <w:sz w:val="32"/>
          <w:szCs w:val="28"/>
        </w:rPr>
        <w:t>准编制工作组完成。</w:t>
      </w:r>
    </w:p>
    <w:p w14:paraId="0D99A07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编制工作组下设三个组，分别是资料收集组、草案编写组、标准实施组。</w:t>
      </w:r>
    </w:p>
    <w:p w14:paraId="59AE398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资料收集组负责国内外有关精神专科医院开放式病房管理的文献资料的查询、收集和整理工作，查阅前人对精神专科医院开放式病房管理的研究情况。</w:t>
      </w:r>
    </w:p>
    <w:p w14:paraId="0BE25F71">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草案编写组负责起草标准草案、征求意见稿和标准编制说明、送审稿及编制说明的编写工作，包括后期召开征求意见会、网上征求意见，以及标准的不断修改和完善。</w:t>
      </w:r>
    </w:p>
    <w:p w14:paraId="067432A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实施组负责团体标准《精神专科医院开放式病房管理规范》发布后，组织相关企事业单位开展标准宣贯培训会，对标准进行详细解读，让相关人员了解标准，并根据标准对半月板损伤中医诊疗进行规范化操作，并对标准实施情况进行总结分析，不断对团体标准提出修正意见。</w:t>
      </w:r>
    </w:p>
    <w:p w14:paraId="32C78715">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（二）收集整理文献资料</w:t>
      </w:r>
    </w:p>
    <w:p w14:paraId="2B9611BD">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lang w:val="fr-FR"/>
        </w:rPr>
      </w:pPr>
      <w:r>
        <w:rPr>
          <w:rFonts w:hint="eastAsia" w:ascii="仿宋_GB2312" w:hAnsi="宋体" w:eastAsia="仿宋_GB2312"/>
          <w:color w:val="auto"/>
          <w:sz w:val="32"/>
          <w:szCs w:val="28"/>
        </w:rPr>
        <w:t>标准编制工作组收集了国内有关精神专科医院开放式病房管理相关文献资料。主要有</w:t>
      </w:r>
      <w:r>
        <w:rPr>
          <w:rFonts w:hint="eastAsia" w:ascii="仿宋_GB2312" w:hAnsi="宋体" w:eastAsia="仿宋_GB2312"/>
          <w:color w:val="auto"/>
          <w:sz w:val="32"/>
          <w:szCs w:val="28"/>
          <w:lang w:val="fr-FR"/>
        </w:rPr>
        <w:t>：</w:t>
      </w:r>
    </w:p>
    <w:p w14:paraId="22BB59AF">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《WS 372.3-2012  疾病管理基本数据集  第3部分：重性精神疾病患者管理》《DB11/T 2053-2022  精神障碍社区康复服务与管理规范》《DB14/T 2956-2023  精神障碍患者健康管理服务规范》《DB43/T 2432-2022  安宁疗护病房管理规范》</w:t>
      </w:r>
      <w:r>
        <w:rPr>
          <w:rFonts w:hint="eastAsia" w:ascii="仿宋_GB2312" w:hAnsi="宋体"/>
          <w:color w:val="auto"/>
          <w:sz w:val="32"/>
          <w:szCs w:val="28"/>
          <w:lang w:eastAsia="zh-CN"/>
        </w:rPr>
        <w:t>。</w:t>
      </w:r>
    </w:p>
    <w:p w14:paraId="44937C7D">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（三）研讨确定标准</w:t>
      </w:r>
      <w:r>
        <w:rPr>
          <w:rFonts w:hint="eastAsia" w:ascii="楷体" w:hAnsi="楷体" w:eastAsia="楷体" w:cs="仿宋_GB2312"/>
          <w:b/>
          <w:color w:val="auto"/>
          <w:sz w:val="32"/>
          <w:szCs w:val="28"/>
          <w:lang w:val="en-US" w:eastAsia="zh-CN"/>
        </w:rPr>
        <w:t>特色、创新点、</w:t>
      </w:r>
      <w:r>
        <w:rPr>
          <w:rFonts w:hint="eastAsia" w:ascii="楷体" w:hAnsi="楷体" w:eastAsia="楷体" w:cs="仿宋_GB2312"/>
          <w:b/>
          <w:color w:val="auto"/>
          <w:sz w:val="32"/>
          <w:szCs w:val="28"/>
        </w:rPr>
        <w:t>主体内容</w:t>
      </w:r>
    </w:p>
    <w:p w14:paraId="2963878A">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1、创新点</w:t>
      </w:r>
    </w:p>
    <w:p w14:paraId="667EA45E">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1）活动区采用开放式布局，设置家属陪护空间，营造接近综合医院的温馨环境，减少封闭隔离感。危险物品隐蔽式集中存放，各区域配备隐私隔帘与独立谈话间。平衡开放与安全，降低患者焦虑情绪，同时满足消防疏散与院感防控标准。</w:t>
      </w:r>
    </w:p>
    <w:p w14:paraId="5B641FF4">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2）依据病情、社会功能、风险三维评估准入，明确医护患比及专科护士资质。规范外出审批、用药监督流程，应用自杀、暴力、外走量化风险工具。制定冲动行为应急处置预案与职责分工，形成准入、过程、应急全闭环管理，确保快速响应与各环节有据可依。</w:t>
      </w:r>
    </w:p>
    <w:p w14:paraId="1A9C50C7">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3）根据患者身心状况制定个性化护理计划，开展社会功能与职业技能训练。建立家属陪护指导及家庭干预课程，强化家庭支持。以风险事件率、社会功能恢复率为核心指标，定期评估并持续改进，推动从疾病管理向全人恢复转变，兼顾疗效与人文关怀。</w:t>
      </w:r>
    </w:p>
    <w:p w14:paraId="2A81DD5F">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28"/>
          <w:lang w:val="en-US" w:eastAsia="zh-CN"/>
        </w:rPr>
      </w:pPr>
      <w:r>
        <w:rPr>
          <w:rFonts w:hint="eastAsia" w:ascii="仿宋_GB2312" w:hAnsi="宋体"/>
          <w:color w:val="auto"/>
          <w:sz w:val="32"/>
          <w:szCs w:val="28"/>
          <w:lang w:val="en-US" w:eastAsia="zh-CN"/>
        </w:rPr>
        <w:t>2、主体内容</w:t>
      </w:r>
    </w:p>
    <w:p w14:paraId="691B939C">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标准编制工作组在对收集的资料进行整理研究之后，标准编制工作组召开了标准编制会议，对标准的整体框架结构进行了研究，并对标准的关键性内容进行了初步探讨。经过研究，标准的主体内容确定为</w:t>
      </w:r>
      <w:r>
        <w:rPr>
          <w:rFonts w:hint="eastAsia" w:ascii="仿宋_GB2312" w:hAnsi="宋体"/>
          <w:color w:val="auto"/>
          <w:sz w:val="32"/>
          <w:szCs w:val="32"/>
          <w:lang w:val="en-US" w:eastAsia="zh-CN"/>
        </w:rPr>
        <w:t>环境和设施设备管理、人员管理、入院管理、住院管理、安全管理、质量评价与改进</w:t>
      </w:r>
      <w:r>
        <w:rPr>
          <w:rFonts w:hint="eastAsia" w:ascii="仿宋_GB2312" w:hAnsi="宋体" w:eastAsia="仿宋_GB2312"/>
          <w:color w:val="auto"/>
          <w:sz w:val="32"/>
          <w:szCs w:val="28"/>
        </w:rPr>
        <w:t>。</w:t>
      </w:r>
    </w:p>
    <w:p w14:paraId="61FABD75">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（四）调研及形成草案、征求意见稿</w:t>
      </w:r>
    </w:p>
    <w:p w14:paraId="6B43200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3</w:t>
      </w:r>
      <w:r>
        <w:rPr>
          <w:rFonts w:hint="eastAsia" w:ascii="仿宋_GB2312" w:hAnsi="宋体" w:eastAsia="仿宋_GB2312"/>
          <w:color w:val="auto"/>
          <w:sz w:val="32"/>
          <w:szCs w:val="28"/>
        </w:rPr>
        <w:t>月，标准起草工作小组进行了广泛调研工作，查阅了大量的国内外文献资料，对精神专科医院开放式病房管理的前人研究成果进行系统总结。形成了标准的基本构架，对主要内容进行了讨论并对项目的工作进行了部署和安排。</w:t>
      </w:r>
    </w:p>
    <w:p w14:paraId="09305CF3">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4-5</w:t>
      </w:r>
      <w:r>
        <w:rPr>
          <w:rFonts w:hint="eastAsia" w:ascii="仿宋_GB2312" w:hAnsi="宋体" w:eastAsia="仿宋_GB2312"/>
          <w:color w:val="auto"/>
          <w:sz w:val="32"/>
          <w:szCs w:val="28"/>
        </w:rPr>
        <w:t>月，在前期工作的基础之上，通过理清逻辑脉络，整合已有的参考资料中有关精神专科医院开放式病房管理要求，并结合精神专科医院开放式病房管理实际要求的基础上，按照简化、统一等原则编制完成团体标准《精神专科医院开放式病房管理》（草案）。</w:t>
      </w:r>
    </w:p>
    <w:p w14:paraId="1F6A96F1">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6</w:t>
      </w:r>
      <w:r>
        <w:rPr>
          <w:rFonts w:hint="eastAsia" w:ascii="仿宋_GB2312" w:hAnsi="宋体" w:eastAsia="仿宋_GB2312"/>
          <w:color w:val="auto"/>
          <w:sz w:val="32"/>
          <w:szCs w:val="28"/>
        </w:rPr>
        <w:t>月，标准起草工作组到</w:t>
      </w:r>
      <w:r>
        <w:rPr>
          <w:rFonts w:ascii="仿宋_GB2312" w:hAnsi="宋体" w:eastAsia="仿宋_GB2312"/>
          <w:color w:val="auto"/>
          <w:sz w:val="32"/>
          <w:szCs w:val="28"/>
        </w:rPr>
        <w:t>相关单位和</w:t>
      </w:r>
      <w:r>
        <w:rPr>
          <w:rFonts w:hint="eastAsia" w:ascii="仿宋_GB2312" w:hAnsi="宋体"/>
          <w:color w:val="auto"/>
          <w:sz w:val="32"/>
          <w:szCs w:val="28"/>
          <w:lang w:val="en-US" w:eastAsia="zh-CN"/>
        </w:rPr>
        <w:t>医疗</w:t>
      </w:r>
      <w:r>
        <w:rPr>
          <w:rFonts w:ascii="仿宋_GB2312" w:hAnsi="宋体" w:eastAsia="仿宋_GB2312"/>
          <w:color w:val="auto"/>
          <w:sz w:val="32"/>
          <w:szCs w:val="28"/>
        </w:rPr>
        <w:t>机构进行调研，</w:t>
      </w:r>
      <w:r>
        <w:rPr>
          <w:rFonts w:hint="eastAsia" w:ascii="仿宋_GB2312" w:hAnsi="宋体" w:eastAsia="仿宋_GB2312"/>
          <w:color w:val="auto"/>
          <w:sz w:val="32"/>
          <w:szCs w:val="28"/>
        </w:rPr>
        <w:t>并实际征求意见，收集了大量反馈意见，标准编制工作组多次召开会议，对标准草案进行了反复修改和研究讨论。进一步讨论完善标准草案，形成团体标准《精神专科医院开放式病房管理》（征求意见稿）和（征求意见稿）编制说明。</w:t>
      </w:r>
    </w:p>
    <w:p w14:paraId="3B832357">
      <w:pPr>
        <w:keepNext w:val="0"/>
        <w:keepLines w:val="0"/>
        <w:pageBreakBefore w:val="0"/>
        <w:kinsoku/>
        <w:overflowPunct/>
        <w:topLinePunct w:val="0"/>
        <w:autoSpaceDE w:val="0"/>
        <w:autoSpaceDN w:val="0"/>
        <w:bidi w:val="0"/>
        <w:adjustRightInd w:val="0"/>
        <w:snapToGrid/>
        <w:ind w:left="0"/>
        <w:jc w:val="left"/>
        <w:textAlignment w:val="auto"/>
        <w:rPr>
          <w:rFonts w:eastAsia="黑体"/>
          <w:bCs/>
          <w:color w:val="auto"/>
          <w:sz w:val="32"/>
          <w:szCs w:val="32"/>
        </w:rPr>
      </w:pPr>
      <w:bookmarkStart w:id="0" w:name="_Toc526940083"/>
      <w:r>
        <w:rPr>
          <w:rFonts w:eastAsia="黑体"/>
          <w:bCs/>
          <w:color w:val="auto"/>
          <w:sz w:val="32"/>
          <w:szCs w:val="32"/>
        </w:rPr>
        <w:t>四、</w:t>
      </w:r>
      <w:bookmarkEnd w:id="0"/>
      <w:r>
        <w:rPr>
          <w:rFonts w:eastAsia="黑体"/>
          <w:bCs/>
          <w:color w:val="auto"/>
          <w:sz w:val="32"/>
          <w:szCs w:val="32"/>
        </w:rPr>
        <w:t>制定标准的原则和依据，与现行法律、法规的关系，与有关国家标准、行业标准的协调情况</w:t>
      </w:r>
    </w:p>
    <w:p w14:paraId="30EFA250">
      <w:pPr>
        <w:pStyle w:val="13"/>
        <w:keepNext w:val="0"/>
        <w:keepLines w:val="0"/>
        <w:pageBreakBefore w:val="0"/>
        <w:kinsoku/>
        <w:overflowPunct/>
        <w:topLinePunct w:val="0"/>
        <w:bidi w:val="0"/>
        <w:snapToGrid/>
        <w:spacing w:line="560" w:lineRule="exact"/>
        <w:ind w:left="0" w:firstLine="0" w:firstLineChars="0"/>
        <w:textAlignment w:val="auto"/>
        <w:outlineLvl w:val="1"/>
        <w:rPr>
          <w:rFonts w:ascii="Times New Roman" w:eastAsia="仿宋"/>
          <w:b/>
          <w:bCs/>
          <w:color w:val="auto"/>
          <w:sz w:val="32"/>
          <w:szCs w:val="32"/>
        </w:rPr>
      </w:pPr>
      <w:r>
        <w:rPr>
          <w:rFonts w:ascii="Times New Roman" w:eastAsia="仿宋"/>
          <w:b/>
          <w:bCs/>
          <w:color w:val="auto"/>
          <w:sz w:val="32"/>
          <w:szCs w:val="32"/>
        </w:rPr>
        <w:t>（一）编制原则</w:t>
      </w:r>
    </w:p>
    <w:p w14:paraId="7432AB81">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eastAsia="仿宋"/>
          <w:b/>
          <w:bCs/>
          <w:color w:val="auto"/>
          <w:kern w:val="0"/>
          <w:sz w:val="32"/>
          <w:szCs w:val="32"/>
        </w:rPr>
        <w:t>1、实用性原则</w:t>
      </w:r>
    </w:p>
    <w:p w14:paraId="096AD80F">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本文件是在充分收集相关资料和文献，分析精神专科医院开放式病房管理当前现状，在现有相关精神专科医院开放式病房管理要求的基础上，结合编制单位</w:t>
      </w:r>
      <w:r>
        <w:rPr>
          <w:rFonts w:ascii="仿宋_GB2312" w:hAnsi="宋体" w:eastAsia="仿宋_GB2312"/>
          <w:color w:val="auto"/>
          <w:sz w:val="32"/>
          <w:szCs w:val="28"/>
        </w:rPr>
        <w:t>多年</w:t>
      </w:r>
      <w:r>
        <w:rPr>
          <w:rFonts w:hint="eastAsia" w:ascii="仿宋_GB2312" w:hAnsi="宋体" w:eastAsia="仿宋_GB2312"/>
          <w:color w:val="auto"/>
          <w:sz w:val="32"/>
          <w:szCs w:val="28"/>
        </w:rPr>
        <w:t>相关经验而总结起草的，符合当前精神专科医院开放式病房管理发展的方向，具有较强的实用性和可操作性。</w:t>
      </w:r>
    </w:p>
    <w:p w14:paraId="62EF7D35">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2、协调性原则</w:t>
      </w:r>
    </w:p>
    <w:p w14:paraId="18A3383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本文件编写过程中注意了与精神专科医院开放式病房管理相关法律法规的协调问题，在内容上与现行法律法规、标准协调一致。</w:t>
      </w:r>
    </w:p>
    <w:p w14:paraId="48B06747">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3、规范性原则</w:t>
      </w:r>
    </w:p>
    <w:p w14:paraId="3276EBB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本文件严格参照GB/T 1.1—2020《标准化工作导则  第1部分：标准化文件的结构和起草规则》编写本标准的内容，保证标准的编写质量。</w:t>
      </w:r>
    </w:p>
    <w:p w14:paraId="173D3B39">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4、前瞻性原则</w:t>
      </w:r>
    </w:p>
    <w:p w14:paraId="2315C39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本文件在兼顾当前</w:t>
      </w:r>
      <w:r>
        <w:rPr>
          <w:rFonts w:hint="eastAsia" w:ascii="仿宋_GB2312" w:hAnsi="宋体"/>
          <w:color w:val="auto"/>
          <w:sz w:val="32"/>
          <w:szCs w:val="28"/>
          <w:lang w:val="en-US" w:eastAsia="zh-CN"/>
        </w:rPr>
        <w:t>广西</w:t>
      </w:r>
      <w:r>
        <w:rPr>
          <w:rFonts w:hint="eastAsia" w:ascii="仿宋_GB2312" w:hAnsi="宋体" w:eastAsia="仿宋_GB2312"/>
          <w:color w:val="auto"/>
          <w:sz w:val="32"/>
          <w:szCs w:val="28"/>
        </w:rPr>
        <w:t>区内精神专科医院开放式病房管理现实情况的同时，还考虑到了精神专科医院开放式病房管理快速发展的趋势和需要，在标准中体现了个别特色性、前瞻性和先进性条款，作为对精神专科医院开放式病房管理发展的指导。</w:t>
      </w:r>
    </w:p>
    <w:p w14:paraId="323DB155">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rPr>
      </w:pPr>
      <w:r>
        <w:rPr>
          <w:rFonts w:eastAsia="仿宋"/>
          <w:b/>
          <w:bCs/>
          <w:color w:val="auto"/>
          <w:kern w:val="0"/>
          <w:sz w:val="32"/>
          <w:szCs w:val="32"/>
        </w:rPr>
        <w:t>（二）编制依据</w:t>
      </w:r>
    </w:p>
    <w:p w14:paraId="03C8CA65">
      <w:pPr>
        <w:keepNext w:val="0"/>
        <w:keepLines w:val="0"/>
        <w:pageBreakBefore w:val="0"/>
        <w:kinsoku/>
        <w:overflowPunct/>
        <w:topLinePunct w:val="0"/>
        <w:bidi w:val="0"/>
        <w:snapToGrid/>
        <w:ind w:left="0" w:firstLine="640" w:firstLineChars="200"/>
        <w:textAlignment w:val="auto"/>
        <w:rPr>
          <w:rFonts w:eastAsia="仿宋"/>
          <w:color w:val="auto"/>
          <w:sz w:val="32"/>
          <w:szCs w:val="32"/>
        </w:rPr>
      </w:pPr>
      <w:r>
        <w:rPr>
          <w:rFonts w:eastAsia="仿宋"/>
          <w:color w:val="auto"/>
          <w:sz w:val="32"/>
          <w:szCs w:val="32"/>
        </w:rPr>
        <w:t>本标准严格按照GB/T 1.1—2020《标准化工作导则  第1部分：标准化文件的结构和起草规则》的规则起草，标准主要内容参考相关标准文件并结合起草单位多年的</w:t>
      </w:r>
      <w:r>
        <w:rPr>
          <w:rFonts w:hint="eastAsia" w:eastAsia="仿宋"/>
          <w:color w:val="auto"/>
          <w:sz w:val="32"/>
          <w:szCs w:val="32"/>
        </w:rPr>
        <w:t>相关</w:t>
      </w:r>
      <w:r>
        <w:rPr>
          <w:rFonts w:eastAsia="仿宋"/>
          <w:color w:val="auto"/>
          <w:sz w:val="32"/>
          <w:szCs w:val="32"/>
        </w:rPr>
        <w:t>经验</w:t>
      </w:r>
      <w:r>
        <w:rPr>
          <w:rFonts w:hint="eastAsia" w:eastAsia="仿宋"/>
          <w:color w:val="auto"/>
          <w:sz w:val="32"/>
          <w:szCs w:val="32"/>
        </w:rPr>
        <w:t>和实践</w:t>
      </w:r>
      <w:r>
        <w:rPr>
          <w:rFonts w:eastAsia="仿宋"/>
          <w:color w:val="auto"/>
          <w:sz w:val="32"/>
          <w:szCs w:val="32"/>
        </w:rPr>
        <w:t>验证情况总结进行起草。</w:t>
      </w:r>
    </w:p>
    <w:p w14:paraId="4909473A">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rPr>
      </w:pPr>
      <w:r>
        <w:rPr>
          <w:rFonts w:eastAsia="仿宋"/>
          <w:b/>
          <w:bCs/>
          <w:color w:val="auto"/>
          <w:kern w:val="0"/>
          <w:sz w:val="32"/>
          <w:szCs w:val="32"/>
        </w:rPr>
        <w:t>（三）与现行法律、法规的关系，与有关国家标准、行业标准的协调情况</w:t>
      </w:r>
    </w:p>
    <w:p w14:paraId="03FE614D">
      <w:pPr>
        <w:keepNext w:val="0"/>
        <w:keepLines w:val="0"/>
        <w:pageBreakBefore w:val="0"/>
        <w:kinsoku/>
        <w:overflowPunct/>
        <w:topLinePunct w:val="0"/>
        <w:bidi w:val="0"/>
        <w:snapToGrid/>
        <w:ind w:left="0" w:firstLine="640" w:firstLineChars="200"/>
        <w:textAlignment w:val="auto"/>
        <w:rPr>
          <w:rFonts w:eastAsia="仿宋"/>
          <w:color w:val="auto"/>
          <w:sz w:val="32"/>
          <w:szCs w:val="32"/>
        </w:rPr>
      </w:pPr>
      <w:r>
        <w:rPr>
          <w:rFonts w:hint="eastAsia" w:eastAsia="仿宋"/>
          <w:color w:val="auto"/>
          <w:sz w:val="32"/>
          <w:szCs w:val="32"/>
        </w:rPr>
        <w:t>本编制工作组承诺本标准内容与各项指标不违反相关法律法规要求，且不低于国家强制性标准、推荐性国家标准和行业标准要求。</w:t>
      </w:r>
    </w:p>
    <w:p w14:paraId="1BFE0279">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与“病房 管理”“精神 管理”等相关的标准</w:t>
      </w:r>
      <w:r>
        <w:rPr>
          <w:rFonts w:hint="eastAsia" w:ascii="仿宋_GB2312" w:hAnsi="宋体"/>
          <w:color w:val="auto"/>
          <w:sz w:val="32"/>
          <w:szCs w:val="28"/>
          <w:lang w:val="en-US" w:eastAsia="zh-CN"/>
        </w:rPr>
        <w:t>主要</w:t>
      </w:r>
      <w:r>
        <w:rPr>
          <w:rFonts w:hint="eastAsia" w:ascii="仿宋_GB2312" w:hAnsi="宋体" w:eastAsia="仿宋_GB2312"/>
          <w:color w:val="auto"/>
          <w:sz w:val="32"/>
          <w:szCs w:val="28"/>
        </w:rPr>
        <w:t>有：</w:t>
      </w:r>
    </w:p>
    <w:p w14:paraId="3F8B8721">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《WS 372.3-2012  疾病管理基本数据集  第3部分：重性精神疾病患者管理》规定了重性精神疾病患者管理基本数据集的数据集元数据属性和数据元目录，适用于重性精神疾病患者管理相关的卫生信息系统。</w:t>
      </w:r>
    </w:p>
    <w:p w14:paraId="498A6A4F">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《DB11/T 2053-2022  精神障碍社区康复服务与管理规范》规定了社区康复机构基本要求、服务内容及要求、服务流程、服务管理、服务评价与改进，适用于社区康复机构开展的精神障碍社区康复服务与管理。</w:t>
      </w:r>
    </w:p>
    <w:p w14:paraId="6931C2B8">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《DB14/T 2956-2023  精神障碍患者健康管理服务规范》规定了精神障碍患者健康管理服务的基本要求、服务流程、服务内容及评价与改进，适用于精神卫生社会福利机构精神障碍患者的健康管理工作。</w:t>
      </w:r>
    </w:p>
    <w:p w14:paraId="5AF41F85">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《DB43/T 2432-2022  安宁疗护病房管理规范》规定了安宁疗护病房环境管理、设施设备管理、人员管理、流程管理、感染防控、安全管理、质量评价与改进，适用于开展安宁疗护的医疗机构。</w:t>
      </w:r>
    </w:p>
    <w:p w14:paraId="29FA2AD1">
      <w:pPr>
        <w:keepNext w:val="0"/>
        <w:keepLines w:val="0"/>
        <w:pageBreakBefore w:val="0"/>
        <w:kinsoku/>
        <w:overflowPunct/>
        <w:topLinePunct w:val="0"/>
        <w:bidi w:val="0"/>
        <w:snapToGrid/>
        <w:ind w:left="0" w:firstLine="640" w:firstLineChars="200"/>
        <w:textAlignment w:val="auto"/>
        <w:rPr>
          <w:rFonts w:hint="eastAsia" w:eastAsia="仿宋"/>
          <w:color w:val="auto"/>
          <w:sz w:val="32"/>
          <w:szCs w:val="32"/>
        </w:rPr>
      </w:pPr>
      <w:r>
        <w:rPr>
          <w:rFonts w:hint="eastAsia" w:ascii="仿宋_GB2312" w:hAnsi="宋体" w:eastAsia="仿宋_GB2312"/>
          <w:color w:val="auto"/>
          <w:sz w:val="32"/>
          <w:szCs w:val="28"/>
        </w:rPr>
        <w:t>综述：目前暂无精神专科医院开放式病房管理标准，本标准规定了环境管理、设施设备管理、人员管理、流程管理、感染防控、安全管理、质量评价与改进的要求。因此制定团体标准《精神专科医院开放式病房管理规范》十分可行。</w:t>
      </w:r>
    </w:p>
    <w:p w14:paraId="2A17FE98">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仿宋_GB2312" w:hAnsi="宋体" w:eastAsia="仿宋_GB2312"/>
          <w:color w:val="auto"/>
          <w:sz w:val="32"/>
          <w:szCs w:val="32"/>
          <w:highlight w:val="none"/>
          <w:lang w:val="zh-CN"/>
        </w:rPr>
      </w:pPr>
      <w:bookmarkStart w:id="1" w:name="_Toc526940084"/>
      <w:r>
        <w:rPr>
          <w:rFonts w:hint="eastAsia" w:ascii="黑体" w:hAnsi="黑体" w:eastAsia="黑体" w:cs="仿宋_GB2312"/>
          <w:color w:val="auto"/>
          <w:sz w:val="32"/>
          <w:szCs w:val="32"/>
        </w:rPr>
        <w:t>五、</w:t>
      </w:r>
      <w:bookmarkEnd w:id="1"/>
      <w:r>
        <w:rPr>
          <w:rFonts w:hint="eastAsia" w:ascii="黑体" w:hAnsi="黑体" w:eastAsia="黑体" w:cs="仿宋_GB2312"/>
          <w:color w:val="auto"/>
          <w:sz w:val="32"/>
          <w:szCs w:val="32"/>
        </w:rPr>
        <w:t>主要条款的说明</w:t>
      </w:r>
    </w:p>
    <w:p w14:paraId="448FDB9F">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zh-CN"/>
        </w:rPr>
      </w:pPr>
      <w:r>
        <w:rPr>
          <w:rFonts w:hint="eastAsia" w:ascii="仿宋_GB2312" w:hAnsi="宋体" w:eastAsia="仿宋_GB2312"/>
          <w:color w:val="auto"/>
          <w:sz w:val="32"/>
          <w:szCs w:val="32"/>
          <w:lang w:val="zh-CN"/>
        </w:rPr>
        <w:t>广西壮族自治区脑科医院自2004年起开设精神科开放式病区，后续根据医院实际发展及病患情况逐渐增设包含成人、儿少、睡眠、心身等在内的开放病区。截至目前，全院开放式病房总共11个。2016年收治病患约2400人次，随着开放式病房管理的不断完善，每年收治患者能力不断增强，收治人数由2020年的3000余人次逐步增长至2024年的近8000人次，且治愈及好转率由2020年的96.64%逐步增长到2024年的97.94%，可见精神专科医院开放式病房对于病患的恢复具有积极作用。广西壮族自治区脑科医院多年的临床实践经验，也为精神专科医院开放式病房管理提供了有效的借鉴。</w:t>
      </w:r>
    </w:p>
    <w:p w14:paraId="6C1EDCB7">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zh-CN"/>
        </w:rPr>
      </w:pPr>
      <w:r>
        <w:rPr>
          <w:rFonts w:hint="eastAsia" w:ascii="仿宋_GB2312" w:hAnsi="宋体" w:eastAsia="仿宋_GB2312"/>
          <w:color w:val="auto"/>
          <w:sz w:val="32"/>
          <w:szCs w:val="32"/>
          <w:lang w:val="zh-CN"/>
        </w:rPr>
        <w:t>团体标准《</w:t>
      </w:r>
      <w:r>
        <w:rPr>
          <w:rFonts w:hint="eastAsia" w:ascii="仿宋_GB2312" w:hAnsi="宋体" w:eastAsia="仿宋_GB2312"/>
          <w:color w:val="auto"/>
          <w:sz w:val="32"/>
          <w:szCs w:val="28"/>
        </w:rPr>
        <w:t>精神专科医院开放式病房管理规范</w:t>
      </w:r>
      <w:r>
        <w:rPr>
          <w:rFonts w:hint="eastAsia" w:ascii="仿宋_GB2312" w:hAnsi="宋体" w:eastAsia="仿宋_GB2312"/>
          <w:color w:val="auto"/>
          <w:sz w:val="32"/>
          <w:szCs w:val="32"/>
          <w:lang w:val="zh-CN"/>
        </w:rPr>
        <w:t>》的主要章节内容包括：</w:t>
      </w:r>
      <w:r>
        <w:rPr>
          <w:rFonts w:hint="eastAsia" w:ascii="仿宋_GB2312" w:hAnsi="宋体"/>
          <w:color w:val="auto"/>
          <w:sz w:val="32"/>
          <w:szCs w:val="32"/>
          <w:lang w:val="en-US" w:eastAsia="zh-CN"/>
        </w:rPr>
        <w:t>环境和设施设备管理、人员管理、入院管理、住院管理、安全管理、质量评价与改进</w:t>
      </w:r>
      <w:r>
        <w:rPr>
          <w:rFonts w:hint="eastAsia" w:ascii="仿宋_GB2312" w:hAnsi="宋体" w:eastAsia="仿宋_GB2312"/>
          <w:color w:val="auto"/>
          <w:sz w:val="32"/>
          <w:szCs w:val="32"/>
          <w:lang w:val="zh-CN"/>
        </w:rPr>
        <w:t>。本文件主要内容及依据来源说明如下：</w:t>
      </w:r>
    </w:p>
    <w:p w14:paraId="40C50225">
      <w:pPr>
        <w:keepNext w:val="0"/>
        <w:keepLines w:val="0"/>
        <w:pageBreakBefore w:val="0"/>
        <w:kinsoku/>
        <w:overflowPunct/>
        <w:topLinePunct w:val="0"/>
        <w:bidi w:val="0"/>
        <w:snapToGrid/>
        <w:ind w:left="0" w:firstLine="643" w:firstLineChars="200"/>
        <w:textAlignment w:val="auto"/>
        <w:rPr>
          <w:rFonts w:ascii="仿宋_GB2312" w:hAnsi="宋体" w:eastAsia="仿宋_GB2312"/>
          <w:b/>
          <w:color w:val="auto"/>
          <w:sz w:val="32"/>
          <w:szCs w:val="32"/>
          <w:lang w:val="zh-CN"/>
        </w:rPr>
      </w:pPr>
      <w:r>
        <w:rPr>
          <w:rFonts w:hint="default" w:ascii="仿宋_GB2312" w:hAnsi="宋体" w:eastAsia="仿宋_GB2312" w:cs="Times New Roman"/>
          <w:b/>
          <w:color w:val="auto"/>
          <w:kern w:val="2"/>
          <w:sz w:val="32"/>
          <w:szCs w:val="32"/>
          <w:lang w:val="zh-CN" w:eastAsia="zh-CN" w:bidi="ar-SA"/>
        </w:rPr>
        <w:t>（一）</w:t>
      </w:r>
      <w:r>
        <w:rPr>
          <w:rFonts w:hint="eastAsia" w:ascii="仿宋_GB2312" w:hAnsi="宋体"/>
          <w:color w:val="auto"/>
          <w:sz w:val="32"/>
          <w:szCs w:val="32"/>
          <w:lang w:val="en-US" w:eastAsia="zh-CN"/>
        </w:rPr>
        <w:t>环境和设施设备管理</w:t>
      </w:r>
    </w:p>
    <w:p w14:paraId="62639A38">
      <w:pPr>
        <w:keepNext w:val="0"/>
        <w:keepLines w:val="0"/>
        <w:pageBreakBefore w:val="0"/>
        <w:kinsoku/>
        <w:overflowPunct/>
        <w:topLinePunct w:val="0"/>
        <w:bidi w:val="0"/>
        <w:snapToGrid/>
        <w:ind w:left="0" w:firstLine="640" w:firstLineChars="200"/>
        <w:textAlignment w:val="auto"/>
        <w:rPr>
          <w:rFonts w:hint="eastAsia"/>
          <w:lang w:val="en-US" w:eastAsia="zh-CN"/>
        </w:rPr>
      </w:pPr>
      <w:r>
        <w:rPr>
          <w:rFonts w:hint="eastAsia"/>
          <w:lang w:val="en-US" w:eastAsia="zh-CN"/>
        </w:rPr>
        <w:t>1.1</w:t>
      </w:r>
      <w:r>
        <w:rPr>
          <w:rFonts w:hint="eastAsia"/>
        </w:rPr>
        <w:t>病区</w:t>
      </w:r>
      <w:r>
        <w:rPr>
          <w:rFonts w:hint="eastAsia"/>
          <w:lang w:val="en-US" w:eastAsia="zh-CN"/>
        </w:rPr>
        <w:t>管理</w:t>
      </w:r>
    </w:p>
    <w:p w14:paraId="2F541C42">
      <w:pPr>
        <w:keepNext w:val="0"/>
        <w:keepLines w:val="0"/>
        <w:pageBreakBefore w:val="0"/>
        <w:kinsoku/>
        <w:overflowPunct/>
        <w:topLinePunct w:val="0"/>
        <w:bidi w:val="0"/>
        <w:snapToGrid/>
        <w:ind w:left="0" w:firstLine="640" w:firstLineChars="200"/>
        <w:textAlignment w:val="auto"/>
        <w:rPr>
          <w:rFonts w:hint="eastAsia"/>
        </w:rPr>
      </w:pPr>
      <w:r>
        <w:rPr>
          <w:rFonts w:hint="eastAsia"/>
          <w:lang w:val="en-US" w:eastAsia="zh-CN"/>
        </w:rPr>
        <w:t>病区</w:t>
      </w:r>
      <w:r>
        <w:rPr>
          <w:rFonts w:hint="eastAsia"/>
        </w:rPr>
        <w:t>是患者最主要的活动区域，需同时考虑防患于未然和应急响应。门禁系统在午间和夜间定时关闭，是为了在人员相对松懈的时段，防止患者无意识出走。视频监控则用于在开放环境中实现24小时不间断的安全观察，及时干预突发状况，30天的保存期</w:t>
      </w:r>
      <w:r>
        <w:rPr>
          <w:rFonts w:hint="eastAsia"/>
          <w:lang w:val="en-US" w:eastAsia="zh-CN"/>
        </w:rPr>
        <w:t>是</w:t>
      </w:r>
      <w:r>
        <w:rPr>
          <w:rFonts w:hint="eastAsia"/>
        </w:rPr>
        <w:t>事后追溯、分析事件提供依据。</w:t>
      </w:r>
    </w:p>
    <w:p w14:paraId="05E45A27">
      <w:pPr>
        <w:keepNext w:val="0"/>
        <w:keepLines w:val="0"/>
        <w:pageBreakBefore w:val="0"/>
        <w:kinsoku/>
        <w:overflowPunct/>
        <w:topLinePunct w:val="0"/>
        <w:bidi w:val="0"/>
        <w:snapToGrid/>
        <w:ind w:left="0" w:firstLine="640" w:firstLineChars="200"/>
        <w:textAlignment w:val="auto"/>
      </w:pPr>
      <w:r>
        <w:rPr>
          <w:rFonts w:hint="eastAsia"/>
        </w:rPr>
        <w:t>防盗网或限位装置是为防范患者利用窗口进行高危行为。防滑、无障碍的地面及防滑标识，则是针对精神科药物可能导致患者步态不稳、易跌倒的风险而设。为防范患者因意识不清或冲动行为造成触电、火灾等事故，电源和消防设施需加装防护装置。浴室热水和饮水机的防烫温控装置，防止患者因感知迟钝而烫伤。</w:t>
      </w:r>
    </w:p>
    <w:p w14:paraId="130C7C77">
      <w:pPr>
        <w:keepNext w:val="0"/>
        <w:keepLines w:val="0"/>
        <w:pageBreakBefore w:val="0"/>
        <w:kinsoku/>
        <w:overflowPunct/>
        <w:topLinePunct w:val="0"/>
        <w:bidi w:val="0"/>
        <w:snapToGrid/>
        <w:ind w:left="0" w:firstLine="640" w:firstLineChars="200"/>
        <w:textAlignment w:val="auto"/>
        <w:rPr>
          <w:rFonts w:hint="eastAsia"/>
        </w:rPr>
      </w:pPr>
      <w:r>
        <w:rPr>
          <w:rFonts w:hint="eastAsia"/>
          <w:lang w:val="en-US" w:eastAsia="zh-CN"/>
        </w:rPr>
        <w:t>1.2</w:t>
      </w:r>
      <w:r>
        <w:rPr>
          <w:rFonts w:hint="eastAsia"/>
        </w:rPr>
        <w:t>病房管理</w:t>
      </w:r>
    </w:p>
    <w:p w14:paraId="578E7A54">
      <w:pPr>
        <w:keepNext w:val="0"/>
        <w:keepLines w:val="0"/>
        <w:pageBreakBefore w:val="0"/>
        <w:kinsoku/>
        <w:overflowPunct/>
        <w:topLinePunct w:val="0"/>
        <w:bidi w:val="0"/>
        <w:snapToGrid/>
        <w:ind w:left="0" w:firstLine="640" w:firstLineChars="200"/>
        <w:textAlignment w:val="auto"/>
        <w:rPr>
          <w:rFonts w:hint="eastAsia"/>
        </w:rPr>
      </w:pPr>
      <w:r>
        <w:rPr>
          <w:rFonts w:hint="eastAsia"/>
        </w:rPr>
        <w:t>病房是患者的私人空间，病房和卫生间的门向外开启，并配置通用钥匙，主要目的是在患者发生自伤、跌倒等意外时，方便医护人员从外部快速进入施救。独立卫生间则是对患者隐私和尊严的基本保障。扶手辅助患者起坐以防止跌倒；紧急呼叫装置让患者在发生意外时能及时求助；防滑地面则是从源头预防跌倒风险。插座、开关固定于墙内，防止患者拆卸后用于触电或自伤。供氧、吸引设备的控制开关未使用时保持关闭，防止因误操作引发火灾或造成其他伤害。</w:t>
      </w:r>
    </w:p>
    <w:p w14:paraId="27AFEE63">
      <w:pPr>
        <w:keepNext w:val="0"/>
        <w:keepLines w:val="0"/>
        <w:pageBreakBefore w:val="0"/>
        <w:kinsoku/>
        <w:overflowPunct/>
        <w:topLinePunct w:val="0"/>
        <w:bidi w:val="0"/>
        <w:snapToGrid/>
        <w:ind w:left="0" w:firstLine="640" w:firstLineChars="200"/>
        <w:textAlignment w:val="auto"/>
        <w:rPr>
          <w:rFonts w:hint="eastAsia"/>
        </w:rPr>
      </w:pPr>
      <w:r>
        <w:rPr>
          <w:rFonts w:hint="eastAsia"/>
          <w:lang w:val="en-US" w:eastAsia="zh-CN"/>
        </w:rPr>
        <w:t>1.3</w:t>
      </w:r>
      <w:r>
        <w:rPr>
          <w:rFonts w:hint="eastAsia"/>
        </w:rPr>
        <w:t>设施设备管理</w:t>
      </w:r>
    </w:p>
    <w:p w14:paraId="3A805CE5">
      <w:pPr>
        <w:keepNext w:val="0"/>
        <w:keepLines w:val="0"/>
        <w:pageBreakBefore w:val="0"/>
        <w:kinsoku/>
        <w:overflowPunct/>
        <w:topLinePunct w:val="0"/>
        <w:bidi w:val="0"/>
        <w:snapToGrid/>
        <w:ind w:left="0" w:firstLine="640" w:firstLineChars="200"/>
        <w:textAlignment w:val="auto"/>
        <w:rPr>
          <w:rFonts w:hint="eastAsia"/>
        </w:rPr>
      </w:pPr>
      <w:r>
        <w:rPr>
          <w:rFonts w:hint="eastAsia"/>
        </w:rPr>
        <w:t>规范化的设备管理是保障治疗有效性和患者安全的基础</w:t>
      </w:r>
      <w:r>
        <w:rPr>
          <w:rFonts w:hint="eastAsia"/>
          <w:lang w:eastAsia="zh-CN"/>
        </w:rPr>
        <w:t>，</w:t>
      </w:r>
      <w:r>
        <w:rPr>
          <w:rFonts w:hint="eastAsia"/>
        </w:rPr>
        <w:t>建立设备管理台账是为了实现设备全生命周期的可追溯管理。对急救等设备定期检查，确保其在关键时刻能正常运转。物理治疗设备、心理干预设备由专业人员操作，确保治疗效果、避免因操作不当对患者造成二次伤害。对患者个人物品进行核查登记，禁止危险物品进入，是精神科安全管理至关重要的一环</w:t>
      </w:r>
      <w:r>
        <w:rPr>
          <w:rFonts w:hint="eastAsia"/>
          <w:lang w:eastAsia="zh-CN"/>
        </w:rPr>
        <w:t>，</w:t>
      </w:r>
      <w:r>
        <w:rPr>
          <w:rFonts w:hint="eastAsia"/>
        </w:rPr>
        <w:t>最大程度杜绝患者利用日常物品进行自伤或伤人的隐患。</w:t>
      </w: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87"/>
        <w:gridCol w:w="4587"/>
      </w:tblGrid>
      <w:tr w14:paraId="0E5807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4587" w:type="dxa"/>
            <w:vAlign w:val="center"/>
          </w:tcPr>
          <w:p w14:paraId="2D9C99D6">
            <w:pPr>
              <w:pStyle w:val="2"/>
              <w:jc w:val="center"/>
              <w:rPr>
                <w:rFonts w:hint="eastAsia" w:ascii="仿宋_GB2312" w:hAnsi="宋体" w:eastAsia="仿宋_GB2312"/>
                <w:color w:val="auto"/>
                <w:sz w:val="28"/>
                <w:szCs w:val="28"/>
                <w:vertAlign w:val="baseline"/>
                <w:lang w:val="en-US" w:eastAsia="zh-CN"/>
              </w:rPr>
            </w:pPr>
            <w:r>
              <w:drawing>
                <wp:inline distT="0" distB="0" distL="114300" distR="114300">
                  <wp:extent cx="2520315" cy="1304290"/>
                  <wp:effectExtent l="0" t="0" r="13335" b="10160"/>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7"/>
                          <a:stretch>
                            <a:fillRect/>
                          </a:stretch>
                        </pic:blipFill>
                        <pic:spPr>
                          <a:xfrm>
                            <a:off x="0" y="0"/>
                            <a:ext cx="2520315" cy="1304290"/>
                          </a:xfrm>
                          <a:prstGeom prst="rect">
                            <a:avLst/>
                          </a:prstGeom>
                          <a:noFill/>
                          <a:ln>
                            <a:noFill/>
                          </a:ln>
                        </pic:spPr>
                      </pic:pic>
                    </a:graphicData>
                  </a:graphic>
                </wp:inline>
              </w:drawing>
            </w:r>
          </w:p>
        </w:tc>
        <w:tc>
          <w:tcPr>
            <w:tcW w:w="4587" w:type="dxa"/>
            <w:vAlign w:val="center"/>
          </w:tcPr>
          <w:p w14:paraId="1DD2F21C">
            <w:pPr>
              <w:pStyle w:val="2"/>
              <w:jc w:val="center"/>
            </w:pPr>
            <w:r>
              <w:drawing>
                <wp:inline distT="0" distB="0" distL="114300" distR="114300">
                  <wp:extent cx="2139950" cy="1303020"/>
                  <wp:effectExtent l="0" t="0" r="12700" b="1143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8"/>
                          <a:stretch>
                            <a:fillRect/>
                          </a:stretch>
                        </pic:blipFill>
                        <pic:spPr>
                          <a:xfrm>
                            <a:off x="0" y="0"/>
                            <a:ext cx="2139950" cy="1303020"/>
                          </a:xfrm>
                          <a:prstGeom prst="rect">
                            <a:avLst/>
                          </a:prstGeom>
                          <a:noFill/>
                          <a:ln>
                            <a:noFill/>
                          </a:ln>
                        </pic:spPr>
                      </pic:pic>
                    </a:graphicData>
                  </a:graphic>
                </wp:inline>
              </w:drawing>
            </w:r>
          </w:p>
        </w:tc>
      </w:tr>
      <w:tr w14:paraId="122AE3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4587" w:type="dxa"/>
            <w:vAlign w:val="center"/>
          </w:tcPr>
          <w:p w14:paraId="7C5A00E1">
            <w:pPr>
              <w:pStyle w:val="2"/>
              <w:jc w:val="center"/>
              <w:rPr>
                <w:rFonts w:hint="default" w:ascii="仿宋_GB2312" w:hAnsi="宋体" w:eastAsia="仿宋_GB2312"/>
                <w:color w:val="auto"/>
                <w:sz w:val="24"/>
                <w:szCs w:val="24"/>
                <w:vertAlign w:val="baseline"/>
                <w:lang w:val="en-US" w:eastAsia="zh-CN"/>
              </w:rPr>
            </w:pPr>
            <w:r>
              <w:rPr>
                <w:rFonts w:hint="eastAsia" w:ascii="仿宋_GB2312" w:hAnsi="宋体" w:eastAsia="仿宋_GB2312"/>
                <w:color w:val="auto"/>
                <w:sz w:val="24"/>
                <w:szCs w:val="24"/>
                <w:vertAlign w:val="baseline"/>
                <w:lang w:val="en-US" w:eastAsia="zh-CN"/>
              </w:rPr>
              <w:t>图1 宣教栏</w:t>
            </w:r>
          </w:p>
        </w:tc>
        <w:tc>
          <w:tcPr>
            <w:tcW w:w="4587" w:type="dxa"/>
            <w:vAlign w:val="center"/>
          </w:tcPr>
          <w:p w14:paraId="520B5669">
            <w:pPr>
              <w:pStyle w:val="2"/>
              <w:jc w:val="center"/>
              <w:rPr>
                <w:rFonts w:hint="default" w:ascii="仿宋_GB2312" w:hAnsi="宋体" w:eastAsia="仿宋_GB2312"/>
                <w:color w:val="auto"/>
                <w:sz w:val="24"/>
                <w:szCs w:val="24"/>
                <w:vertAlign w:val="baseline"/>
                <w:lang w:val="en-US" w:eastAsia="zh-CN"/>
              </w:rPr>
            </w:pPr>
            <w:r>
              <w:rPr>
                <w:rFonts w:hint="eastAsia" w:ascii="仿宋_GB2312" w:hAnsi="宋体" w:eastAsia="仿宋_GB2312"/>
                <w:color w:val="auto"/>
                <w:sz w:val="24"/>
                <w:szCs w:val="24"/>
                <w:vertAlign w:val="baseline"/>
                <w:lang w:val="en-US" w:eastAsia="zh-CN"/>
              </w:rPr>
              <w:t>图2 宣教码</w:t>
            </w:r>
          </w:p>
        </w:tc>
      </w:tr>
    </w:tbl>
    <w:p w14:paraId="60F02666">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zh-CN" w:eastAsia="zh-CN" w:bidi="ar-SA"/>
        </w:rPr>
        <w:t>（</w:t>
      </w:r>
      <w:r>
        <w:rPr>
          <w:rFonts w:hint="eastAsia" w:ascii="仿宋_GB2312" w:hAnsi="宋体" w:eastAsia="仿宋_GB2312" w:cs="Times New Roman"/>
          <w:b/>
          <w:color w:val="auto"/>
          <w:kern w:val="2"/>
          <w:sz w:val="32"/>
          <w:szCs w:val="32"/>
          <w:lang w:val="en-US" w:eastAsia="zh-CN" w:bidi="ar-SA"/>
        </w:rPr>
        <w:t>二）</w:t>
      </w:r>
      <w:r>
        <w:rPr>
          <w:rFonts w:hint="eastAsia" w:ascii="仿宋_GB2312" w:hAnsi="宋体"/>
          <w:color w:val="auto"/>
          <w:sz w:val="32"/>
          <w:szCs w:val="32"/>
          <w:lang w:val="en-US" w:eastAsia="zh-CN"/>
        </w:rPr>
        <w:t>人员管理</w:t>
      </w:r>
    </w:p>
    <w:p w14:paraId="2A8ACE71">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2.1人员配置</w:t>
      </w:r>
    </w:p>
    <w:p w14:paraId="6DA7B868">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default" w:ascii="仿宋_GB2312" w:hAnsi="宋体"/>
          <w:color w:val="auto"/>
          <w:sz w:val="32"/>
          <w:szCs w:val="32"/>
          <w:lang w:val="en-US" w:eastAsia="zh-CN"/>
        </w:rPr>
        <w:t>精神疾病患者的认知偏差、情绪困扰和社会适应障碍</w:t>
      </w:r>
      <w:r>
        <w:rPr>
          <w:rFonts w:hint="eastAsia" w:ascii="仿宋_GB2312" w:hAnsi="宋体"/>
          <w:color w:val="auto"/>
          <w:sz w:val="32"/>
          <w:szCs w:val="32"/>
          <w:lang w:val="en-US" w:eastAsia="zh-CN"/>
        </w:rPr>
        <w:t>需要</w:t>
      </w:r>
      <w:r>
        <w:rPr>
          <w:rFonts w:hint="default" w:ascii="仿宋_GB2312" w:hAnsi="宋体"/>
          <w:color w:val="auto"/>
          <w:sz w:val="32"/>
          <w:szCs w:val="32"/>
          <w:lang w:val="en-US" w:eastAsia="zh-CN"/>
        </w:rPr>
        <w:t>依靠心理治疗。开放式病房鼓励患者融入社会，心理治疗师能及时疏导患者因开放环境带来的焦虑或人际关系冲突，是促进心理康复、降低因情绪波动导致自伤风险的关键角色。</w:t>
      </w:r>
    </w:p>
    <w:p w14:paraId="739F9B5E">
      <w:pPr>
        <w:keepNext w:val="0"/>
        <w:keepLines w:val="0"/>
        <w:pageBreakBefore w:val="0"/>
        <w:kinsoku/>
        <w:overflowPunct/>
        <w:topLinePunct w:val="0"/>
        <w:bidi w:val="0"/>
        <w:snapToGrid/>
        <w:ind w:left="0" w:firstLine="640" w:firstLineChars="200"/>
        <w:textAlignment w:val="auto"/>
        <w:rPr>
          <w:rFonts w:hint="eastAsia"/>
          <w:lang w:val="en-US" w:eastAsia="zh-CN"/>
        </w:rPr>
      </w:pPr>
      <w:r>
        <w:rPr>
          <w:rFonts w:hint="eastAsia" w:ascii="仿宋_GB2312" w:hAnsi="宋体"/>
          <w:color w:val="auto"/>
          <w:sz w:val="32"/>
          <w:szCs w:val="32"/>
          <w:lang w:val="en-US" w:eastAsia="zh-CN"/>
        </w:rPr>
        <w:t>同时医疗护理员也起到重要辅助作用，</w:t>
      </w:r>
      <w:r>
        <w:rPr>
          <w:rFonts w:hint="default" w:ascii="仿宋_GB2312" w:hAnsi="宋体"/>
          <w:color w:val="auto"/>
          <w:sz w:val="32"/>
          <w:szCs w:val="32"/>
          <w:lang w:val="en-US" w:eastAsia="zh-CN"/>
        </w:rPr>
        <w:t>精神科护理强度大，护理员协助基础护理和巡视，能释放护士的专业精力，让护士专注于病情观察和药物治疗。同时，规定护理员满足T/GXAS 871</w:t>
      </w:r>
      <w:r>
        <w:rPr>
          <w:rFonts w:hint="eastAsia" w:ascii="仿宋_GB2312" w:hAnsi="宋体"/>
          <w:color w:val="auto"/>
          <w:sz w:val="32"/>
          <w:szCs w:val="32"/>
          <w:lang w:val="en-US" w:eastAsia="zh-CN"/>
        </w:rPr>
        <w:t>的规定</w:t>
      </w:r>
      <w:r>
        <w:rPr>
          <w:rFonts w:hint="default" w:ascii="仿宋_GB2312" w:hAnsi="宋体"/>
          <w:color w:val="auto"/>
          <w:sz w:val="32"/>
          <w:szCs w:val="32"/>
          <w:lang w:val="en-US" w:eastAsia="zh-CN"/>
        </w:rPr>
        <w:t>，确保</w:t>
      </w:r>
      <w:r>
        <w:rPr>
          <w:rFonts w:hint="eastAsia" w:ascii="仿宋_GB2312" w:hAnsi="宋体"/>
          <w:color w:val="auto"/>
          <w:sz w:val="32"/>
          <w:szCs w:val="32"/>
          <w:lang w:val="en-US" w:eastAsia="zh-CN"/>
        </w:rPr>
        <w:t>能够</w:t>
      </w:r>
      <w:r>
        <w:rPr>
          <w:rFonts w:hint="eastAsia"/>
          <w:lang w:val="en-US" w:eastAsia="zh-CN"/>
        </w:rPr>
        <w:t>配合医护人员完成基础照护工作。</w:t>
      </w:r>
    </w:p>
    <w:p w14:paraId="50EBB909">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2.2</w:t>
      </w:r>
      <w:r>
        <w:rPr>
          <w:rFonts w:hint="default" w:ascii="仿宋_GB2312" w:hAnsi="宋体"/>
          <w:color w:val="auto"/>
          <w:sz w:val="32"/>
          <w:szCs w:val="32"/>
          <w:lang w:val="en-US" w:eastAsia="zh-CN"/>
        </w:rPr>
        <w:t>人员培训</w:t>
      </w:r>
    </w:p>
    <w:p w14:paraId="55DA549C">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default" w:ascii="仿宋_GB2312" w:hAnsi="宋体"/>
          <w:color w:val="auto"/>
          <w:sz w:val="32"/>
          <w:szCs w:val="32"/>
          <w:lang w:val="en-US" w:eastAsia="zh-CN"/>
        </w:rPr>
        <w:t>患者病情波动往往毫无征兆，暴力攻击、突发自伤可能在几秒内发生。岗前和定期培训能确保医护人员</w:t>
      </w:r>
      <w:r>
        <w:rPr>
          <w:rFonts w:hint="eastAsia" w:ascii="仿宋_GB2312" w:hAnsi="宋体"/>
          <w:color w:val="auto"/>
          <w:sz w:val="32"/>
          <w:szCs w:val="32"/>
          <w:lang w:val="en-US" w:eastAsia="zh-CN"/>
        </w:rPr>
        <w:t>专业和应急处理能力</w:t>
      </w:r>
      <w:r>
        <w:rPr>
          <w:rFonts w:hint="default" w:ascii="仿宋_GB2312" w:hAnsi="宋体"/>
          <w:color w:val="auto"/>
          <w:sz w:val="32"/>
          <w:szCs w:val="32"/>
          <w:lang w:val="en-US" w:eastAsia="zh-CN"/>
        </w:rPr>
        <w:t>。</w:t>
      </w:r>
    </w:p>
    <w:p w14:paraId="09A3254D">
      <w:pPr>
        <w:keepNext w:val="0"/>
        <w:keepLines w:val="0"/>
        <w:pageBreakBefore w:val="0"/>
        <w:kinsoku/>
        <w:overflowPunct/>
        <w:topLinePunct w:val="0"/>
        <w:bidi w:val="0"/>
        <w:snapToGrid/>
        <w:ind w:left="0" w:leftChars="0" w:firstLine="0" w:firstLineChars="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重点</w:t>
      </w:r>
      <w:r>
        <w:rPr>
          <w:rFonts w:hint="default" w:ascii="仿宋_GB2312" w:hAnsi="宋体"/>
          <w:color w:val="auto"/>
          <w:sz w:val="32"/>
          <w:szCs w:val="32"/>
          <w:lang w:val="en-US" w:eastAsia="zh-CN"/>
        </w:rPr>
        <w:t>培训外出管理流程</w:t>
      </w:r>
      <w:r>
        <w:rPr>
          <w:rFonts w:hint="eastAsia" w:ascii="仿宋_GB2312" w:hAnsi="宋体"/>
          <w:color w:val="auto"/>
          <w:sz w:val="32"/>
          <w:szCs w:val="32"/>
          <w:lang w:val="en-US" w:eastAsia="zh-CN"/>
        </w:rPr>
        <w:t>、</w:t>
      </w:r>
      <w:r>
        <w:rPr>
          <w:rFonts w:hint="default" w:ascii="仿宋_GB2312" w:hAnsi="宋体"/>
          <w:color w:val="auto"/>
          <w:sz w:val="32"/>
          <w:szCs w:val="32"/>
          <w:lang w:val="en-US" w:eastAsia="zh-CN"/>
        </w:rPr>
        <w:t>风险评估量表</w:t>
      </w:r>
      <w:r>
        <w:rPr>
          <w:rFonts w:hint="eastAsia" w:ascii="仿宋_GB2312" w:hAnsi="宋体"/>
          <w:color w:val="auto"/>
          <w:sz w:val="32"/>
          <w:szCs w:val="32"/>
          <w:lang w:val="en-US" w:eastAsia="zh-CN"/>
        </w:rPr>
        <w:t>等内容</w:t>
      </w:r>
      <w:r>
        <w:rPr>
          <w:rFonts w:hint="default" w:ascii="仿宋_GB2312" w:hAnsi="宋体"/>
          <w:color w:val="auto"/>
          <w:sz w:val="32"/>
          <w:szCs w:val="32"/>
          <w:lang w:val="en-US" w:eastAsia="zh-CN"/>
        </w:rPr>
        <w:t>，是因为开放式病房最大的风险就是患者出走。熟练掌握量化评估工具，才能</w:t>
      </w:r>
      <w:r>
        <w:rPr>
          <w:rFonts w:hint="eastAsia" w:ascii="仿宋_GB2312" w:hAnsi="宋体"/>
          <w:color w:val="auto"/>
          <w:sz w:val="32"/>
          <w:szCs w:val="32"/>
          <w:lang w:val="en-US" w:eastAsia="zh-CN"/>
        </w:rPr>
        <w:t>更好</w:t>
      </w:r>
      <w:r>
        <w:rPr>
          <w:rFonts w:hint="default" w:ascii="仿宋_GB2312" w:hAnsi="宋体"/>
          <w:color w:val="auto"/>
          <w:sz w:val="32"/>
          <w:szCs w:val="32"/>
          <w:lang w:val="en-US" w:eastAsia="zh-CN"/>
        </w:rPr>
        <w:t>判断患者是否适合外出。</w:t>
      </w:r>
    </w:p>
    <w:p w14:paraId="0B6B884D">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default" w:ascii="仿宋_GB2312" w:hAnsi="宋体"/>
          <w:color w:val="auto"/>
          <w:sz w:val="32"/>
          <w:szCs w:val="32"/>
          <w:lang w:val="en-US" w:eastAsia="zh-CN"/>
        </w:rPr>
        <w:t>精神科危机处理通过情景演绎</w:t>
      </w:r>
      <w:r>
        <w:rPr>
          <w:rFonts w:hint="eastAsia" w:ascii="仿宋_GB2312" w:hAnsi="宋体"/>
          <w:color w:val="auto"/>
          <w:sz w:val="32"/>
          <w:szCs w:val="32"/>
          <w:lang w:val="en-US" w:eastAsia="zh-CN"/>
        </w:rPr>
        <w:t>、</w:t>
      </w:r>
      <w:r>
        <w:rPr>
          <w:rFonts w:hint="default" w:ascii="仿宋_GB2312" w:hAnsi="宋体"/>
          <w:color w:val="auto"/>
          <w:sz w:val="32"/>
          <w:szCs w:val="32"/>
          <w:lang w:val="en-US" w:eastAsia="zh-CN"/>
        </w:rPr>
        <w:t>案例分析，能</w:t>
      </w:r>
      <w:r>
        <w:rPr>
          <w:rFonts w:hint="eastAsia" w:ascii="仿宋_GB2312" w:hAnsi="宋体"/>
          <w:color w:val="auto"/>
          <w:sz w:val="32"/>
          <w:szCs w:val="32"/>
          <w:lang w:val="en-US" w:eastAsia="zh-CN"/>
        </w:rPr>
        <w:t>更好提高</w:t>
      </w:r>
      <w:r>
        <w:rPr>
          <w:rFonts w:hint="default" w:ascii="仿宋_GB2312" w:hAnsi="宋体"/>
          <w:color w:val="auto"/>
          <w:sz w:val="32"/>
          <w:szCs w:val="32"/>
          <w:lang w:val="en-US" w:eastAsia="zh-CN"/>
        </w:rPr>
        <w:t>应急</w:t>
      </w:r>
      <w:r>
        <w:rPr>
          <w:rFonts w:hint="eastAsia" w:ascii="仿宋_GB2312" w:hAnsi="宋体"/>
          <w:color w:val="auto"/>
          <w:sz w:val="32"/>
          <w:szCs w:val="32"/>
          <w:lang w:val="en-US" w:eastAsia="zh-CN"/>
        </w:rPr>
        <w:t>处理能力</w:t>
      </w:r>
      <w:r>
        <w:rPr>
          <w:rFonts w:hint="default" w:ascii="仿宋_GB2312" w:hAnsi="宋体"/>
          <w:color w:val="auto"/>
          <w:sz w:val="32"/>
          <w:szCs w:val="32"/>
          <w:lang w:val="en-US" w:eastAsia="zh-CN"/>
        </w:rPr>
        <w:t>，确保在真实混乱场景中团队能高效配合。</w:t>
      </w:r>
    </w:p>
    <w:p w14:paraId="4ADB68E6">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2.3</w:t>
      </w:r>
      <w:r>
        <w:rPr>
          <w:rFonts w:hint="default" w:ascii="仿宋_GB2312" w:hAnsi="宋体"/>
          <w:color w:val="auto"/>
          <w:sz w:val="32"/>
          <w:szCs w:val="32"/>
          <w:lang w:val="en-US" w:eastAsia="zh-CN"/>
        </w:rPr>
        <w:t>工作职责</w:t>
      </w:r>
    </w:p>
    <w:p w14:paraId="34CBCB6D">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default" w:ascii="仿宋_GB2312" w:hAnsi="宋体"/>
          <w:color w:val="auto"/>
          <w:sz w:val="32"/>
          <w:szCs w:val="32"/>
          <w:lang w:val="en-US" w:eastAsia="zh-CN"/>
        </w:rPr>
        <w:t>医师除了常规诊疗，</w:t>
      </w:r>
      <w:r>
        <w:rPr>
          <w:rFonts w:hint="eastAsia" w:ascii="仿宋_GB2312" w:hAnsi="宋体"/>
          <w:color w:val="auto"/>
          <w:sz w:val="32"/>
          <w:szCs w:val="32"/>
          <w:lang w:val="en-US" w:eastAsia="zh-CN"/>
        </w:rPr>
        <w:t>同时</w:t>
      </w:r>
      <w:r>
        <w:rPr>
          <w:rFonts w:hint="default" w:ascii="仿宋_GB2312" w:hAnsi="宋体"/>
          <w:color w:val="auto"/>
          <w:sz w:val="32"/>
          <w:szCs w:val="32"/>
          <w:lang w:val="en-US" w:eastAsia="zh-CN"/>
        </w:rPr>
        <w:t>负责评估外出活动</w:t>
      </w:r>
      <w:r>
        <w:rPr>
          <w:rFonts w:hint="eastAsia" w:ascii="仿宋_GB2312" w:hAnsi="宋体"/>
          <w:color w:val="auto"/>
          <w:sz w:val="32"/>
          <w:szCs w:val="32"/>
          <w:lang w:val="en-US" w:eastAsia="zh-CN"/>
        </w:rPr>
        <w:t>、</w:t>
      </w:r>
      <w:r>
        <w:rPr>
          <w:rFonts w:hint="default" w:ascii="仿宋_GB2312" w:hAnsi="宋体"/>
          <w:color w:val="auto"/>
          <w:sz w:val="32"/>
          <w:szCs w:val="32"/>
          <w:lang w:val="en-US" w:eastAsia="zh-CN"/>
        </w:rPr>
        <w:t>探视</w:t>
      </w:r>
      <w:r>
        <w:rPr>
          <w:rFonts w:hint="eastAsia" w:ascii="仿宋_GB2312" w:hAnsi="宋体"/>
          <w:color w:val="auto"/>
          <w:sz w:val="32"/>
          <w:szCs w:val="32"/>
          <w:lang w:val="en-US" w:eastAsia="zh-CN"/>
        </w:rPr>
        <w:t>等工作，</w:t>
      </w:r>
      <w:r>
        <w:rPr>
          <w:rFonts w:hint="default" w:ascii="仿宋_GB2312" w:hAnsi="宋体"/>
          <w:color w:val="auto"/>
          <w:sz w:val="32"/>
          <w:szCs w:val="32"/>
          <w:lang w:val="en-US" w:eastAsia="zh-CN"/>
        </w:rPr>
        <w:t>因为外出和探视是开放式病房的</w:t>
      </w:r>
      <w:r>
        <w:rPr>
          <w:rFonts w:hint="eastAsia" w:ascii="仿宋_GB2312" w:hAnsi="宋体"/>
          <w:color w:val="auto"/>
          <w:sz w:val="32"/>
          <w:szCs w:val="32"/>
          <w:lang w:val="en-US" w:eastAsia="zh-CN"/>
        </w:rPr>
        <w:t>重点关注事项</w:t>
      </w:r>
      <w:r>
        <w:rPr>
          <w:rFonts w:hint="default" w:ascii="仿宋_GB2312" w:hAnsi="宋体"/>
          <w:color w:val="auto"/>
          <w:sz w:val="32"/>
          <w:szCs w:val="32"/>
          <w:lang w:val="en-US" w:eastAsia="zh-CN"/>
        </w:rPr>
        <w:t>，</w:t>
      </w:r>
      <w:r>
        <w:rPr>
          <w:rFonts w:hint="eastAsia" w:ascii="仿宋_GB2312" w:hAnsi="宋体"/>
          <w:color w:val="auto"/>
          <w:sz w:val="32"/>
          <w:szCs w:val="32"/>
          <w:lang w:val="en-US" w:eastAsia="zh-CN"/>
        </w:rPr>
        <w:t>是否适宜</w:t>
      </w:r>
      <w:r>
        <w:rPr>
          <w:rFonts w:hint="default" w:ascii="仿宋_GB2312" w:hAnsi="宋体"/>
          <w:color w:val="auto"/>
          <w:sz w:val="32"/>
          <w:szCs w:val="32"/>
          <w:lang w:val="en-US" w:eastAsia="zh-CN"/>
        </w:rPr>
        <w:t>接触外界</w:t>
      </w:r>
      <w:r>
        <w:rPr>
          <w:rFonts w:hint="eastAsia" w:ascii="仿宋_GB2312" w:hAnsi="宋体"/>
          <w:color w:val="auto"/>
          <w:sz w:val="32"/>
          <w:szCs w:val="32"/>
          <w:lang w:val="en-US" w:eastAsia="zh-CN"/>
        </w:rPr>
        <w:t>，</w:t>
      </w:r>
      <w:r>
        <w:rPr>
          <w:rFonts w:hint="default" w:ascii="仿宋_GB2312" w:hAnsi="宋体"/>
          <w:color w:val="auto"/>
          <w:sz w:val="32"/>
          <w:szCs w:val="32"/>
          <w:lang w:val="en-US" w:eastAsia="zh-CN"/>
        </w:rPr>
        <w:t>由最了解病情的医师根据风险评估来决定。</w:t>
      </w:r>
      <w:r>
        <w:rPr>
          <w:rFonts w:hint="eastAsia" w:ascii="仿宋_GB2312" w:hAnsi="宋体"/>
          <w:color w:val="auto"/>
          <w:sz w:val="32"/>
          <w:szCs w:val="32"/>
          <w:lang w:val="en-US" w:eastAsia="zh-CN"/>
        </w:rPr>
        <w:t>而</w:t>
      </w:r>
      <w:r>
        <w:rPr>
          <w:rFonts w:hint="default" w:ascii="仿宋_GB2312" w:hAnsi="宋体"/>
          <w:color w:val="auto"/>
          <w:sz w:val="32"/>
          <w:szCs w:val="32"/>
          <w:lang w:val="en-US" w:eastAsia="zh-CN"/>
        </w:rPr>
        <w:t>护士定期巡视是发现</w:t>
      </w:r>
      <w:r>
        <w:rPr>
          <w:rFonts w:hint="eastAsia" w:ascii="仿宋_GB2312" w:hAnsi="宋体"/>
          <w:color w:val="auto"/>
          <w:sz w:val="32"/>
          <w:szCs w:val="32"/>
          <w:lang w:val="en-US" w:eastAsia="zh-CN"/>
        </w:rPr>
        <w:t>患者特殊</w:t>
      </w:r>
      <w:r>
        <w:rPr>
          <w:rFonts w:hint="default" w:ascii="仿宋_GB2312" w:hAnsi="宋体"/>
          <w:color w:val="auto"/>
          <w:sz w:val="32"/>
          <w:szCs w:val="32"/>
          <w:lang w:val="en-US" w:eastAsia="zh-CN"/>
        </w:rPr>
        <w:t>细微征兆的</w:t>
      </w:r>
      <w:r>
        <w:rPr>
          <w:rFonts w:hint="eastAsia" w:ascii="仿宋_GB2312" w:hAnsi="宋体"/>
          <w:color w:val="auto"/>
          <w:sz w:val="32"/>
          <w:szCs w:val="32"/>
          <w:lang w:val="en-US" w:eastAsia="zh-CN"/>
        </w:rPr>
        <w:t>有效</w:t>
      </w:r>
      <w:r>
        <w:rPr>
          <w:rFonts w:hint="default" w:ascii="仿宋_GB2312" w:hAnsi="宋体"/>
          <w:color w:val="auto"/>
          <w:sz w:val="32"/>
          <w:szCs w:val="32"/>
          <w:lang w:val="en-US" w:eastAsia="zh-CN"/>
        </w:rPr>
        <w:t>手段</w:t>
      </w:r>
      <w:r>
        <w:rPr>
          <w:rFonts w:hint="eastAsia" w:ascii="仿宋_GB2312" w:hAnsi="宋体"/>
          <w:color w:val="auto"/>
          <w:sz w:val="32"/>
          <w:szCs w:val="32"/>
          <w:lang w:val="en-US" w:eastAsia="zh-CN"/>
        </w:rPr>
        <w:t>，比如避免药物</w:t>
      </w:r>
      <w:r>
        <w:rPr>
          <w:rFonts w:hint="default" w:ascii="仿宋_GB2312" w:hAnsi="宋体"/>
          <w:color w:val="auto"/>
          <w:sz w:val="32"/>
          <w:szCs w:val="32"/>
          <w:lang w:val="en-US" w:eastAsia="zh-CN"/>
        </w:rPr>
        <w:t>可能导致体位性低血压或嗜睡，患者可能借机藏药或自伤。</w:t>
      </w:r>
      <w:r>
        <w:rPr>
          <w:rFonts w:hint="eastAsia" w:ascii="仿宋_GB2312" w:hAnsi="宋体"/>
          <w:color w:val="auto"/>
          <w:sz w:val="32"/>
          <w:szCs w:val="32"/>
          <w:lang w:val="en-US" w:eastAsia="zh-CN"/>
        </w:rPr>
        <w:t>同时</w:t>
      </w:r>
      <w:r>
        <w:rPr>
          <w:rFonts w:hint="default" w:ascii="仿宋_GB2312" w:hAnsi="宋体"/>
          <w:color w:val="auto"/>
          <w:sz w:val="32"/>
          <w:szCs w:val="32"/>
          <w:lang w:val="en-US" w:eastAsia="zh-CN"/>
        </w:rPr>
        <w:t>开放式病房允许患者带入生活用品，护士</w:t>
      </w:r>
      <w:r>
        <w:rPr>
          <w:rFonts w:hint="eastAsia" w:ascii="仿宋_GB2312" w:hAnsi="宋体"/>
          <w:color w:val="auto"/>
          <w:sz w:val="32"/>
          <w:szCs w:val="32"/>
          <w:lang w:val="en-US" w:eastAsia="zh-CN"/>
        </w:rPr>
        <w:t>需要</w:t>
      </w:r>
      <w:r>
        <w:rPr>
          <w:rFonts w:hint="default" w:ascii="仿宋_GB2312" w:hAnsi="宋体"/>
          <w:color w:val="auto"/>
          <w:sz w:val="32"/>
          <w:szCs w:val="32"/>
          <w:lang w:val="en-US" w:eastAsia="zh-CN"/>
        </w:rPr>
        <w:t>检查危险物品（如刀具、绳索、玻璃制品），防止患者利用日常物品实施自伤</w:t>
      </w:r>
      <w:r>
        <w:rPr>
          <w:rFonts w:hint="eastAsia" w:ascii="仿宋_GB2312" w:hAnsi="宋体"/>
          <w:color w:val="auto"/>
          <w:sz w:val="32"/>
          <w:szCs w:val="32"/>
          <w:lang w:val="en-US" w:eastAsia="zh-CN"/>
        </w:rPr>
        <w:t>。</w:t>
      </w:r>
    </w:p>
    <w:p w14:paraId="7BC6CF13">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一般陪护的</w:t>
      </w:r>
      <w:r>
        <w:rPr>
          <w:rFonts w:hint="default" w:ascii="仿宋_GB2312" w:hAnsi="宋体"/>
          <w:color w:val="auto"/>
          <w:sz w:val="32"/>
          <w:szCs w:val="32"/>
          <w:lang w:val="en-US" w:eastAsia="zh-CN"/>
        </w:rPr>
        <w:t>家属往往不懂精神科护理，可能因过度溺爱或刺激患者而诱发意外</w:t>
      </w:r>
      <w:r>
        <w:rPr>
          <w:rFonts w:hint="eastAsia" w:ascii="仿宋_GB2312" w:hAnsi="宋体"/>
          <w:color w:val="auto"/>
          <w:sz w:val="32"/>
          <w:szCs w:val="32"/>
          <w:lang w:val="en-US" w:eastAsia="zh-CN"/>
        </w:rPr>
        <w:t>，</w:t>
      </w:r>
      <w:r>
        <w:rPr>
          <w:rFonts w:hint="default" w:ascii="仿宋_GB2312" w:hAnsi="宋体"/>
          <w:color w:val="auto"/>
          <w:sz w:val="32"/>
          <w:szCs w:val="32"/>
          <w:lang w:val="en-US" w:eastAsia="zh-CN"/>
        </w:rPr>
        <w:t>护士</w:t>
      </w:r>
      <w:r>
        <w:rPr>
          <w:rFonts w:hint="eastAsia" w:ascii="仿宋_GB2312" w:hAnsi="宋体"/>
          <w:color w:val="auto"/>
          <w:sz w:val="32"/>
          <w:szCs w:val="32"/>
          <w:lang w:val="en-US" w:eastAsia="zh-CN"/>
        </w:rPr>
        <w:t>需要对</w:t>
      </w:r>
      <w:r>
        <w:rPr>
          <w:rFonts w:hint="default" w:ascii="仿宋_GB2312" w:hAnsi="宋体"/>
          <w:color w:val="auto"/>
          <w:sz w:val="32"/>
          <w:szCs w:val="32"/>
          <w:lang w:val="en-US" w:eastAsia="zh-CN"/>
        </w:rPr>
        <w:t>家属</w:t>
      </w:r>
      <w:r>
        <w:rPr>
          <w:rFonts w:hint="eastAsia" w:ascii="仿宋_GB2312" w:hAnsi="宋体"/>
          <w:color w:val="auto"/>
          <w:sz w:val="32"/>
          <w:szCs w:val="32"/>
          <w:lang w:val="en-US" w:eastAsia="zh-CN"/>
        </w:rPr>
        <w:t>进行必要</w:t>
      </w:r>
      <w:r>
        <w:rPr>
          <w:rFonts w:hint="default" w:ascii="仿宋_GB2312" w:hAnsi="宋体"/>
          <w:color w:val="auto"/>
          <w:sz w:val="32"/>
          <w:szCs w:val="32"/>
          <w:lang w:val="en-US" w:eastAsia="zh-CN"/>
        </w:rPr>
        <w:t>指导。医疗护理员接触患者日常起居最多</w:t>
      </w:r>
      <w:r>
        <w:rPr>
          <w:rFonts w:hint="eastAsia" w:ascii="仿宋_GB2312" w:hAnsi="宋体"/>
          <w:color w:val="auto"/>
          <w:sz w:val="32"/>
          <w:szCs w:val="32"/>
          <w:lang w:val="en-US" w:eastAsia="zh-CN"/>
        </w:rPr>
        <w:t>，更容易</w:t>
      </w:r>
      <w:r>
        <w:rPr>
          <w:rFonts w:hint="default" w:ascii="仿宋_GB2312" w:hAnsi="宋体"/>
          <w:color w:val="auto"/>
          <w:sz w:val="32"/>
          <w:szCs w:val="32"/>
          <w:lang w:val="en-US" w:eastAsia="zh-CN"/>
        </w:rPr>
        <w:t>发现医生护士查房时不易察觉的细微异常</w:t>
      </w:r>
      <w:r>
        <w:rPr>
          <w:rFonts w:hint="eastAsia" w:ascii="仿宋_GB2312" w:hAnsi="宋体"/>
          <w:color w:val="auto"/>
          <w:sz w:val="32"/>
          <w:szCs w:val="32"/>
          <w:lang w:val="en-US" w:eastAsia="zh-CN"/>
        </w:rPr>
        <w:t>，可以</w:t>
      </w:r>
      <w:r>
        <w:rPr>
          <w:rFonts w:hint="default" w:ascii="仿宋_GB2312" w:hAnsi="宋体"/>
          <w:color w:val="auto"/>
          <w:sz w:val="32"/>
          <w:szCs w:val="32"/>
          <w:lang w:val="en-US" w:eastAsia="zh-CN"/>
        </w:rPr>
        <w:t>及时反馈异常情绪或行为。</w:t>
      </w:r>
      <w:r>
        <w:rPr>
          <w:rFonts w:hint="eastAsia" w:ascii="仿宋_GB2312" w:hAnsi="宋体"/>
          <w:color w:val="auto"/>
          <w:sz w:val="32"/>
          <w:szCs w:val="32"/>
          <w:lang w:val="en-US" w:eastAsia="zh-CN"/>
        </w:rPr>
        <w:t>而</w:t>
      </w:r>
      <w:r>
        <w:rPr>
          <w:rFonts w:hint="default" w:ascii="仿宋_GB2312" w:hAnsi="宋体"/>
          <w:color w:val="auto"/>
          <w:sz w:val="32"/>
          <w:szCs w:val="32"/>
          <w:lang w:val="en-US" w:eastAsia="zh-CN"/>
        </w:rPr>
        <w:t>在开放式环境中，患者间容易发生摩擦和传染性焦虑，心理咨询师（治疗师）介入能降低群体性不良情绪的蔓延，化解潜在的暴力冲突萌芽。</w:t>
      </w:r>
    </w:p>
    <w:p w14:paraId="63ECA1D4">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en-US" w:eastAsia="zh-CN" w:bidi="ar-SA"/>
        </w:rPr>
        <w:t>（三）</w:t>
      </w:r>
      <w:r>
        <w:rPr>
          <w:rFonts w:hint="eastAsia" w:ascii="仿宋_GB2312" w:hAnsi="宋体"/>
          <w:color w:val="auto"/>
          <w:sz w:val="32"/>
          <w:szCs w:val="32"/>
          <w:lang w:val="en-US" w:eastAsia="zh-CN"/>
        </w:rPr>
        <w:t>入院管理</w:t>
      </w:r>
    </w:p>
    <w:p w14:paraId="2A629ECF">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3.1</w:t>
      </w:r>
      <w:r>
        <w:rPr>
          <w:rFonts w:hint="default" w:ascii="仿宋_GB2312" w:hAnsi="宋体" w:eastAsia="仿宋_GB2312"/>
          <w:color w:val="auto"/>
          <w:sz w:val="32"/>
          <w:szCs w:val="32"/>
          <w:lang w:val="en-US" w:eastAsia="zh-CN"/>
        </w:rPr>
        <w:t>入院评估</w:t>
      </w:r>
    </w:p>
    <w:p w14:paraId="2C86F009">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医师侧重疾病诊断和治疗方向，护士侧重日常护理需求和风险观察。两者共同评估，能</w:t>
      </w:r>
      <w:r>
        <w:rPr>
          <w:rFonts w:hint="eastAsia" w:ascii="仿宋_GB2312" w:hAnsi="宋体"/>
          <w:color w:val="auto"/>
          <w:sz w:val="32"/>
          <w:szCs w:val="32"/>
          <w:lang w:val="en-US" w:eastAsia="zh-CN"/>
        </w:rPr>
        <w:t>更好</w:t>
      </w:r>
      <w:r>
        <w:rPr>
          <w:rFonts w:hint="default" w:ascii="仿宋_GB2312" w:hAnsi="宋体" w:eastAsia="仿宋_GB2312"/>
          <w:color w:val="auto"/>
          <w:sz w:val="32"/>
          <w:szCs w:val="32"/>
          <w:lang w:val="en-US" w:eastAsia="zh-CN"/>
        </w:rPr>
        <w:t>掌握病情严重度和生活自理度，避免单一视角的疏漏。</w:t>
      </w:r>
    </w:p>
    <w:p w14:paraId="77B1733E">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一般评估（过敏史、既往史）是医疗安全底线，防止在治疗中发生药物过敏或诱发其他躯体疾病。精神专科评估（感知、思维、自知力）是病情基线，帮助医生判断患者当前状态是否稳定，也为后续疗效对比提供依据。风险评估（自杀/暴力/离院）是开放准入的核心依据。通过标准化量表量化风险，能将主观判断转化为客观指标。</w:t>
      </w:r>
    </w:p>
    <w:p w14:paraId="7E3AC09C">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3.2</w:t>
      </w:r>
      <w:r>
        <w:rPr>
          <w:rFonts w:hint="default" w:ascii="仿宋_GB2312" w:hAnsi="宋体" w:eastAsia="仿宋_GB2312"/>
          <w:color w:val="auto"/>
          <w:sz w:val="32"/>
          <w:szCs w:val="32"/>
          <w:lang w:val="en-US" w:eastAsia="zh-CN"/>
        </w:rPr>
        <w:t>入院要求</w:t>
      </w:r>
    </w:p>
    <w:p w14:paraId="63FB8469">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患者</w:t>
      </w:r>
      <w:r>
        <w:rPr>
          <w:rFonts w:hint="default" w:ascii="仿宋_GB2312" w:hAnsi="宋体" w:eastAsia="仿宋_GB2312"/>
          <w:color w:val="auto"/>
          <w:sz w:val="32"/>
          <w:szCs w:val="32"/>
          <w:lang w:val="en-US" w:eastAsia="zh-CN"/>
        </w:rPr>
        <w:t>只有评估为中度风险以下，才意味着患者具备基本的自我控制能力和较低的即时危险性，适合在开放环境中康复。要求</w:t>
      </w:r>
      <w:r>
        <w:rPr>
          <w:rFonts w:hint="eastAsia" w:ascii="仿宋_GB2312" w:hAnsi="宋体"/>
          <w:color w:val="auto"/>
          <w:sz w:val="32"/>
          <w:szCs w:val="32"/>
          <w:lang w:val="en-US" w:eastAsia="zh-CN"/>
        </w:rPr>
        <w:t>患者</w:t>
      </w:r>
      <w:r>
        <w:rPr>
          <w:rFonts w:hint="default" w:ascii="仿宋_GB2312" w:hAnsi="宋体" w:eastAsia="仿宋_GB2312"/>
          <w:color w:val="auto"/>
          <w:sz w:val="32"/>
          <w:szCs w:val="32"/>
          <w:lang w:val="en-US" w:eastAsia="zh-CN"/>
        </w:rPr>
        <w:t>自愿或经监护人同意，符合《精神卫生法》对自愿住院原则的尊重，也确保在后续实施外出、探视等开放措施时，医患双方有共同的法律和伦理基础。</w:t>
      </w:r>
    </w:p>
    <w:p w14:paraId="707EDB7E">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3.3入院</w:t>
      </w:r>
      <w:r>
        <w:rPr>
          <w:rFonts w:hint="default" w:ascii="仿宋_GB2312" w:hAnsi="宋体" w:eastAsia="仿宋_GB2312"/>
          <w:color w:val="auto"/>
          <w:sz w:val="32"/>
          <w:szCs w:val="32"/>
          <w:lang w:val="en-US" w:eastAsia="zh-CN"/>
        </w:rPr>
        <w:t>检查</w:t>
      </w:r>
    </w:p>
    <w:p w14:paraId="53E8BD1A">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放式病房允许患者带入个人物品，这是人文关怀，但也带来了隐患。逐件检查并清缴危险物品（刀具、绳索、玻璃、金属制品），是防范患者利用日常物品实施自伤或伤人的</w:t>
      </w:r>
      <w:r>
        <w:rPr>
          <w:rFonts w:hint="eastAsia" w:ascii="仿宋_GB2312" w:hAnsi="宋体"/>
          <w:color w:val="auto"/>
          <w:sz w:val="32"/>
          <w:szCs w:val="32"/>
          <w:lang w:val="en-US" w:eastAsia="zh-CN"/>
        </w:rPr>
        <w:t>关键</w:t>
      </w:r>
      <w:r>
        <w:rPr>
          <w:rFonts w:hint="default" w:ascii="仿宋_GB2312" w:hAnsi="宋体" w:eastAsia="仿宋_GB2312"/>
          <w:color w:val="auto"/>
          <w:sz w:val="32"/>
          <w:szCs w:val="32"/>
          <w:lang w:val="en-US" w:eastAsia="zh-CN"/>
        </w:rPr>
        <w:t>手段。统一保管则既保证安全，又保留了物品所有权。</w:t>
      </w:r>
    </w:p>
    <w:p w14:paraId="53BF9198">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精神科患者入院前可能在院外已存在外伤，或有隐蔽的自伤行为。入院时详细检查并记录体表情况，可以区分院外已有伤痕与院内新发伤害，避免后续纠纷。要求家属在场或同性工作人员在场，是为了防止在检查过程中发生肢体接触引发的误会或投诉，是对患者隐私权的保护，也是对医护人员职业安全的保护。</w:t>
      </w: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20A59F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174" w:type="dxa"/>
            <w:vAlign w:val="center"/>
          </w:tcPr>
          <w:p w14:paraId="5D4C7C8F">
            <w:pPr>
              <w:pStyle w:val="2"/>
              <w:jc w:val="center"/>
            </w:pPr>
            <w:r>
              <w:drawing>
                <wp:inline distT="0" distB="0" distL="114300" distR="114300">
                  <wp:extent cx="1771650" cy="2381250"/>
                  <wp:effectExtent l="0" t="0" r="6350" b="635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9"/>
                          <a:stretch>
                            <a:fillRect/>
                          </a:stretch>
                        </pic:blipFill>
                        <pic:spPr>
                          <a:xfrm>
                            <a:off x="0" y="0"/>
                            <a:ext cx="1771650" cy="2381250"/>
                          </a:xfrm>
                          <a:prstGeom prst="rect">
                            <a:avLst/>
                          </a:prstGeom>
                          <a:noFill/>
                          <a:ln>
                            <a:noFill/>
                          </a:ln>
                        </pic:spPr>
                      </pic:pic>
                    </a:graphicData>
                  </a:graphic>
                </wp:inline>
              </w:drawing>
            </w:r>
          </w:p>
        </w:tc>
      </w:tr>
      <w:tr w14:paraId="25C50D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74" w:hRule="atLeast"/>
        </w:trPr>
        <w:tc>
          <w:tcPr>
            <w:tcW w:w="9174" w:type="dxa"/>
            <w:vAlign w:val="center"/>
          </w:tcPr>
          <w:p w14:paraId="1F66E436">
            <w:pPr>
              <w:pStyle w:val="2"/>
              <w:jc w:val="center"/>
              <w:rPr>
                <w:rFonts w:hint="eastAsia" w:ascii="仿宋_GB2312" w:hAnsi="宋体" w:eastAsia="仿宋_GB2312"/>
                <w:color w:val="auto"/>
                <w:sz w:val="28"/>
                <w:szCs w:val="28"/>
                <w:vertAlign w:val="baseline"/>
                <w:lang w:val="en-US" w:eastAsia="zh-CN"/>
              </w:rPr>
            </w:pPr>
            <w:r>
              <w:rPr>
                <w:rFonts w:hint="eastAsia" w:ascii="仿宋_GB2312" w:hAnsi="宋体" w:eastAsia="仿宋_GB2312"/>
                <w:color w:val="auto"/>
                <w:sz w:val="24"/>
                <w:szCs w:val="24"/>
                <w:vertAlign w:val="baseline"/>
                <w:lang w:val="en-US" w:eastAsia="zh-CN"/>
              </w:rPr>
              <w:t>图3 入院物品检查</w:t>
            </w:r>
          </w:p>
        </w:tc>
      </w:tr>
    </w:tbl>
    <w:p w14:paraId="0377135D">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3.4</w:t>
      </w:r>
      <w:r>
        <w:rPr>
          <w:rFonts w:hint="default" w:ascii="仿宋_GB2312" w:hAnsi="宋体" w:eastAsia="仿宋_GB2312"/>
          <w:color w:val="auto"/>
          <w:sz w:val="32"/>
          <w:szCs w:val="32"/>
          <w:lang w:val="en-US" w:eastAsia="zh-CN"/>
        </w:rPr>
        <w:t>入院宣教</w:t>
      </w:r>
    </w:p>
    <w:p w14:paraId="23F22361">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开放式病房的规则（外出请假、探视时间、作息）与普通内科病房不同</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及时宣教能让患者和家属明确</w:t>
      </w:r>
      <w:r>
        <w:rPr>
          <w:rFonts w:hint="eastAsia" w:ascii="仿宋_GB2312" w:hAnsi="宋体"/>
          <w:color w:val="auto"/>
          <w:sz w:val="32"/>
          <w:szCs w:val="32"/>
          <w:lang w:val="en-US" w:eastAsia="zh-CN"/>
        </w:rPr>
        <w:t>要求</w:t>
      </w:r>
      <w:r>
        <w:rPr>
          <w:rFonts w:hint="default" w:ascii="仿宋_GB2312" w:hAnsi="宋体" w:eastAsia="仿宋_GB2312"/>
          <w:color w:val="auto"/>
          <w:sz w:val="32"/>
          <w:szCs w:val="32"/>
          <w:lang w:val="en-US" w:eastAsia="zh-CN"/>
        </w:rPr>
        <w:t>，避免因不了解规则而产生的冲突。签署住院告知书明确医患权利义务</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危险物品告知书明确禁入物品清单，若家属隐瞒导致事故，责任界定清晰</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外出活动告知书明确告知患者外出可能面临的风险</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家属签署代表知晓并接受外出风险，保障患者的知情权，也有效降低医院在患者外出期间可能面临的法律风险。</w:t>
      </w:r>
    </w:p>
    <w:p w14:paraId="647C0713">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3.5</w:t>
      </w:r>
      <w:r>
        <w:rPr>
          <w:rFonts w:hint="default" w:ascii="仿宋_GB2312" w:hAnsi="宋体" w:eastAsia="仿宋_GB2312"/>
          <w:color w:val="auto"/>
          <w:sz w:val="32"/>
          <w:szCs w:val="32"/>
          <w:lang w:val="en-US" w:eastAsia="zh-CN"/>
        </w:rPr>
        <w:t>床位安排</w:t>
      </w:r>
    </w:p>
    <w:p w14:paraId="49803D08">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特级护理患者通常病情危重或随时可能发生急剧变化，开放式病房的普通区域无法提供足够监护强度。将</w:t>
      </w:r>
      <w:r>
        <w:rPr>
          <w:rFonts w:hint="eastAsia" w:ascii="仿宋_GB2312" w:hAnsi="宋体"/>
          <w:color w:val="auto"/>
          <w:sz w:val="32"/>
          <w:szCs w:val="32"/>
          <w:lang w:val="en-US" w:eastAsia="zh-CN"/>
        </w:rPr>
        <w:t>其</w:t>
      </w:r>
      <w:r>
        <w:rPr>
          <w:rFonts w:hint="default" w:ascii="仿宋_GB2312" w:hAnsi="宋体" w:eastAsia="仿宋_GB2312"/>
          <w:color w:val="auto"/>
          <w:sz w:val="32"/>
          <w:szCs w:val="32"/>
          <w:lang w:val="en-US" w:eastAsia="zh-CN"/>
        </w:rPr>
        <w:t>安置在专门的监护病房，既保证了必要的监护，又不剥夺其享受开放环境的可能性。一级护理患者，安排在护士站附近便于护士通过巡视窗口随时目视观察，缩短应急反应距离。普通病房给予风险较低的患者最大程度的自由和隐私空间，促进其社会功能康复。</w:t>
      </w: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36C56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174" w:type="dxa"/>
            <w:vAlign w:val="center"/>
          </w:tcPr>
          <w:p w14:paraId="3CC6F4A7">
            <w:pPr>
              <w:pStyle w:val="2"/>
              <w:jc w:val="center"/>
              <w:rPr>
                <w:rFonts w:hint="default" w:ascii="仿宋_GB2312" w:hAnsi="宋体" w:eastAsia="仿宋_GB2312"/>
                <w:color w:val="auto"/>
                <w:sz w:val="32"/>
                <w:szCs w:val="32"/>
                <w:vertAlign w:val="baseline"/>
                <w:lang w:val="en-US" w:eastAsia="zh-CN"/>
              </w:rPr>
            </w:pPr>
            <w:r>
              <w:drawing>
                <wp:inline distT="0" distB="0" distL="114300" distR="114300">
                  <wp:extent cx="4319905" cy="2348230"/>
                  <wp:effectExtent l="0" t="0" r="4445"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4319905" cy="2348230"/>
                          </a:xfrm>
                          <a:prstGeom prst="rect">
                            <a:avLst/>
                          </a:prstGeom>
                          <a:noFill/>
                          <a:ln>
                            <a:noFill/>
                          </a:ln>
                        </pic:spPr>
                      </pic:pic>
                    </a:graphicData>
                  </a:graphic>
                </wp:inline>
              </w:drawing>
            </w:r>
          </w:p>
        </w:tc>
      </w:tr>
      <w:tr w14:paraId="5539CB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9174" w:type="dxa"/>
            <w:vAlign w:val="center"/>
          </w:tcPr>
          <w:p w14:paraId="3AAFA2D7">
            <w:pPr>
              <w:pStyle w:val="2"/>
              <w:jc w:val="center"/>
              <w:rPr>
                <w:rFonts w:hint="default" w:ascii="仿宋_GB2312" w:hAnsi="宋体" w:eastAsia="仿宋_GB2312"/>
                <w:color w:val="auto"/>
                <w:sz w:val="32"/>
                <w:szCs w:val="32"/>
                <w:vertAlign w:val="baseline"/>
                <w:lang w:val="en-US" w:eastAsia="zh-CN"/>
              </w:rPr>
            </w:pPr>
            <w:r>
              <w:rPr>
                <w:rFonts w:hint="eastAsia" w:ascii="仿宋_GB2312" w:hAnsi="宋体" w:eastAsia="仿宋_GB2312"/>
                <w:color w:val="auto"/>
                <w:sz w:val="24"/>
                <w:szCs w:val="24"/>
                <w:vertAlign w:val="baseline"/>
                <w:lang w:val="en-US" w:eastAsia="zh-CN"/>
              </w:rPr>
              <w:t xml:space="preserve">图4 </w:t>
            </w:r>
            <w:r>
              <w:rPr>
                <w:rFonts w:hint="default" w:ascii="仿宋_GB2312" w:hAnsi="宋体" w:eastAsia="仿宋_GB2312"/>
                <w:color w:val="auto"/>
                <w:sz w:val="24"/>
                <w:szCs w:val="24"/>
                <w:vertAlign w:val="baseline"/>
                <w:lang w:val="en-US" w:eastAsia="zh-CN"/>
              </w:rPr>
              <w:t>病区一览表</w:t>
            </w:r>
          </w:p>
        </w:tc>
      </w:tr>
    </w:tbl>
    <w:p w14:paraId="60387386">
      <w:pPr>
        <w:keepNext w:val="0"/>
        <w:keepLines w:val="0"/>
        <w:pageBreakBefore w:val="0"/>
        <w:kinsoku/>
        <w:overflowPunct/>
        <w:topLinePunct w:val="0"/>
        <w:bidi w:val="0"/>
        <w:snapToGrid/>
        <w:ind w:left="0" w:firstLine="643" w:firstLineChars="200"/>
        <w:textAlignment w:val="auto"/>
        <w:rPr>
          <w:rFonts w:hint="default"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en-US" w:eastAsia="zh-CN" w:bidi="ar-SA"/>
        </w:rPr>
        <w:t>（四）</w:t>
      </w:r>
      <w:r>
        <w:rPr>
          <w:rFonts w:hint="eastAsia" w:ascii="仿宋_GB2312" w:hAnsi="宋体"/>
          <w:color w:val="auto"/>
          <w:sz w:val="32"/>
          <w:szCs w:val="32"/>
          <w:lang w:val="en-US" w:eastAsia="zh-CN"/>
        </w:rPr>
        <w:t>住院管理</w:t>
      </w:r>
    </w:p>
    <w:p w14:paraId="21FBFB67">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4.1</w:t>
      </w:r>
      <w:r>
        <w:rPr>
          <w:rFonts w:hint="default" w:ascii="仿宋_GB2312" w:hAnsi="宋体" w:eastAsia="仿宋_GB2312"/>
          <w:color w:val="auto"/>
          <w:sz w:val="32"/>
          <w:szCs w:val="32"/>
          <w:lang w:val="en-US" w:eastAsia="zh-CN"/>
        </w:rPr>
        <w:t>治疗与护理</w:t>
      </w:r>
    </w:p>
    <w:p w14:paraId="137F1EDC">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精神疾病是波动性、慢性的，生物-心理-社会模式与闭环管理</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根据病情变化（如药物副作用、情绪波动）动态调整，持续改进，避免治疗僵化。无抽搐电休克（MECT）需全身麻醉，术后患者存在意识模糊、定向力障碍的风险。治疗室护士监护至清醒+病房护士与治疗室护士双签名交接，明确风险责任转移的时间节点，确保患者在意识未完全恢复</w:t>
      </w:r>
      <w:r>
        <w:rPr>
          <w:rFonts w:hint="eastAsia" w:ascii="仿宋_GB2312" w:hAnsi="宋体"/>
          <w:color w:val="auto"/>
          <w:sz w:val="32"/>
          <w:szCs w:val="32"/>
          <w:lang w:val="en-US" w:eastAsia="zh-CN"/>
        </w:rPr>
        <w:t>期间</w:t>
      </w:r>
      <w:r>
        <w:rPr>
          <w:rFonts w:hint="default" w:ascii="仿宋_GB2312" w:hAnsi="宋体" w:eastAsia="仿宋_GB2312"/>
          <w:color w:val="auto"/>
          <w:sz w:val="32"/>
          <w:szCs w:val="32"/>
          <w:lang w:val="en-US" w:eastAsia="zh-CN"/>
        </w:rPr>
        <w:t>有专业监护，</w:t>
      </w:r>
      <w:r>
        <w:rPr>
          <w:rFonts w:hint="eastAsia" w:ascii="仿宋_GB2312" w:hAnsi="宋体"/>
          <w:color w:val="auto"/>
          <w:sz w:val="32"/>
          <w:szCs w:val="32"/>
          <w:lang w:val="en-US" w:eastAsia="zh-CN"/>
        </w:rPr>
        <w:t>防止</w:t>
      </w:r>
      <w:r>
        <w:rPr>
          <w:rFonts w:hint="default" w:ascii="仿宋_GB2312" w:hAnsi="宋体" w:eastAsia="仿宋_GB2312"/>
          <w:color w:val="auto"/>
          <w:sz w:val="32"/>
          <w:szCs w:val="32"/>
          <w:lang w:val="en-US" w:eastAsia="zh-CN"/>
        </w:rPr>
        <w:t>转运途中或交接后发生跌倒、窒息等意外。</w:t>
      </w:r>
    </w:p>
    <w:p w14:paraId="55D055AC">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安排服药训练、体能、社交技能等结构化活动，</w:t>
      </w:r>
      <w:r>
        <w:rPr>
          <w:rFonts w:hint="eastAsia" w:ascii="仿宋_GB2312" w:hAnsi="宋体"/>
          <w:color w:val="auto"/>
          <w:sz w:val="32"/>
          <w:szCs w:val="32"/>
          <w:lang w:val="en-US" w:eastAsia="zh-CN"/>
        </w:rPr>
        <w:t>帮助</w:t>
      </w:r>
      <w:r>
        <w:rPr>
          <w:rFonts w:hint="default" w:ascii="仿宋_GB2312" w:hAnsi="宋体" w:eastAsia="仿宋_GB2312"/>
          <w:color w:val="auto"/>
          <w:sz w:val="32"/>
          <w:szCs w:val="32"/>
          <w:lang w:val="en-US" w:eastAsia="zh-CN"/>
        </w:rPr>
        <w:t>重建患者的生活节律和社会角色感，填补患者空虚时间，减少因无聊、胡思乱想引发的焦虑和冲动行为。护理中</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患者常因药物副作用或缺乏自知力而拒绝治疗，藏药（舌下、指缝）和吐药是常见对抗行为</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护士监督保证药物治疗的有效性。</w:t>
      </w:r>
    </w:p>
    <w:p w14:paraId="09B3253A">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精神科药物可能抑制骨髓或影响心肌，每日测体温脉搏呼吸、每周测体重血压，</w:t>
      </w:r>
      <w:r>
        <w:rPr>
          <w:rFonts w:hint="eastAsia" w:ascii="仿宋_GB2312" w:hAnsi="宋体"/>
          <w:color w:val="auto"/>
          <w:sz w:val="32"/>
          <w:szCs w:val="32"/>
          <w:lang w:val="en-US" w:eastAsia="zh-CN"/>
        </w:rPr>
        <w:t>观察</w:t>
      </w:r>
      <w:r>
        <w:rPr>
          <w:rFonts w:hint="default" w:ascii="仿宋_GB2312" w:hAnsi="宋体" w:eastAsia="仿宋_GB2312"/>
          <w:color w:val="auto"/>
          <w:sz w:val="32"/>
          <w:szCs w:val="32"/>
          <w:lang w:val="en-US" w:eastAsia="zh-CN"/>
        </w:rPr>
        <w:t>早期发现药物严重不良反应。观察皮肤、活动、管道等，则是针对长期卧床或约束患者，预防压疮和深静脉血栓。</w:t>
      </w:r>
    </w:p>
    <w:tbl>
      <w:tblPr>
        <w:tblStyle w:val="10"/>
        <w:tblpPr w:leftFromText="180" w:rightFromText="180" w:vertAnchor="text" w:horzAnchor="page" w:tblpX="1473" w:tblpY="-8"/>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25CA37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9174" w:type="dxa"/>
            <w:vAlign w:val="center"/>
          </w:tcPr>
          <w:p w14:paraId="1E36559C">
            <w:pPr>
              <w:pStyle w:val="2"/>
              <w:jc w:val="center"/>
              <w:rPr>
                <w:rFonts w:hint="eastAsia" w:ascii="仿宋_GB2312" w:hAnsi="宋体" w:eastAsia="仿宋_GB2312"/>
                <w:color w:val="auto"/>
                <w:sz w:val="28"/>
                <w:szCs w:val="28"/>
                <w:vertAlign w:val="baseline"/>
                <w:lang w:val="en-US" w:eastAsia="zh-CN"/>
              </w:rPr>
            </w:pPr>
            <w:r>
              <w:drawing>
                <wp:inline distT="0" distB="0" distL="114300" distR="114300">
                  <wp:extent cx="4319905" cy="1334770"/>
                  <wp:effectExtent l="0" t="0" r="10795" b="11430"/>
                  <wp:docPr id="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0"/>
                          <pic:cNvPicPr>
                            <a:picLocks noChangeAspect="1"/>
                          </pic:cNvPicPr>
                        </pic:nvPicPr>
                        <pic:blipFill>
                          <a:blip r:embed="rId11"/>
                          <a:stretch>
                            <a:fillRect/>
                          </a:stretch>
                        </pic:blipFill>
                        <pic:spPr>
                          <a:xfrm>
                            <a:off x="0" y="0"/>
                            <a:ext cx="4319905" cy="1334770"/>
                          </a:xfrm>
                          <a:prstGeom prst="rect">
                            <a:avLst/>
                          </a:prstGeom>
                          <a:noFill/>
                          <a:ln>
                            <a:noFill/>
                          </a:ln>
                        </pic:spPr>
                      </pic:pic>
                    </a:graphicData>
                  </a:graphic>
                </wp:inline>
              </w:drawing>
            </w:r>
          </w:p>
        </w:tc>
      </w:tr>
      <w:tr w14:paraId="69D61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9174" w:type="dxa"/>
            <w:vAlign w:val="center"/>
          </w:tcPr>
          <w:p w14:paraId="7D758599">
            <w:pPr>
              <w:pStyle w:val="2"/>
              <w:jc w:val="center"/>
            </w:pPr>
            <w:r>
              <w:rPr>
                <w:rFonts w:hint="eastAsia" w:ascii="仿宋_GB2312" w:hAnsi="宋体" w:eastAsia="仿宋_GB2312"/>
                <w:color w:val="auto"/>
                <w:sz w:val="24"/>
                <w:szCs w:val="24"/>
                <w:vertAlign w:val="baseline"/>
                <w:lang w:val="en-US" w:eastAsia="zh-CN"/>
              </w:rPr>
              <w:t>图5 自伤自杀电子一览表</w:t>
            </w:r>
          </w:p>
        </w:tc>
      </w:tr>
    </w:tbl>
    <w:p w14:paraId="42B2B0DE">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4.2</w:t>
      </w:r>
      <w:r>
        <w:rPr>
          <w:rFonts w:hint="default" w:ascii="仿宋_GB2312" w:hAnsi="宋体" w:eastAsia="仿宋_GB2312"/>
          <w:color w:val="auto"/>
          <w:sz w:val="32"/>
          <w:szCs w:val="32"/>
          <w:lang w:val="en-US" w:eastAsia="zh-CN"/>
        </w:rPr>
        <w:t>陪护与探视</w:t>
      </w:r>
    </w:p>
    <w:p w14:paraId="08C21FE4">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精神科患者情绪极易受身边人影响</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固定陪护能建立稳定的信任关系，便于护士识别患者情绪的异常变化。要求身心健康是防止陪护者自身患重病或情绪崩溃，反过来成为病区的风险源。</w:t>
      </w:r>
    </w:p>
    <w:p w14:paraId="4B4379D0">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开放式病房没有物理锁闭，对于高自杀/出走风险的患者，24小时贴身陪护等同于“人肉监控”。严禁擅自离岗或使患者独处，是堵住患者利用家属上厕所、打盹等瞬间实施高危行为的最后漏洞。</w:t>
      </w:r>
    </w:p>
    <w:p w14:paraId="33E26EB4">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同时</w:t>
      </w:r>
      <w:r>
        <w:rPr>
          <w:rFonts w:hint="default" w:ascii="仿宋_GB2312" w:hAnsi="宋体" w:eastAsia="仿宋_GB2312"/>
          <w:color w:val="auto"/>
          <w:sz w:val="32"/>
          <w:szCs w:val="32"/>
          <w:lang w:val="en-US" w:eastAsia="zh-CN"/>
        </w:rPr>
        <w:t>家属不是专业人士，可能出于</w:t>
      </w:r>
      <w:r>
        <w:rPr>
          <w:rFonts w:hint="eastAsia" w:ascii="仿宋_GB2312" w:hAnsi="宋体"/>
          <w:color w:val="auto"/>
          <w:sz w:val="32"/>
          <w:szCs w:val="32"/>
          <w:lang w:val="en-US" w:eastAsia="zh-CN"/>
        </w:rPr>
        <w:t>其他原因</w:t>
      </w:r>
      <w:r>
        <w:rPr>
          <w:rFonts w:hint="default" w:ascii="仿宋_GB2312" w:hAnsi="宋体" w:eastAsia="仿宋_GB2312"/>
          <w:color w:val="auto"/>
          <w:sz w:val="32"/>
          <w:szCs w:val="32"/>
          <w:lang w:val="en-US" w:eastAsia="zh-CN"/>
        </w:rPr>
        <w:t>违规私藏危险物品或带患者溜出医院。书面警告和强制更换</w:t>
      </w:r>
      <w:r>
        <w:rPr>
          <w:rFonts w:hint="eastAsia" w:ascii="仿宋_GB2312" w:hAnsi="宋体"/>
          <w:color w:val="auto"/>
          <w:sz w:val="32"/>
          <w:szCs w:val="32"/>
          <w:lang w:val="en-US" w:eastAsia="zh-CN"/>
        </w:rPr>
        <w:t>的管理制度</w:t>
      </w:r>
      <w:r>
        <w:rPr>
          <w:rFonts w:hint="default" w:ascii="仿宋_GB2312" w:hAnsi="宋体" w:eastAsia="仿宋_GB2312"/>
          <w:color w:val="auto"/>
          <w:sz w:val="32"/>
          <w:szCs w:val="32"/>
          <w:lang w:val="en-US" w:eastAsia="zh-CN"/>
        </w:rPr>
        <w:t>，明确告知纵容违规</w:t>
      </w:r>
      <w:r>
        <w:rPr>
          <w:rFonts w:hint="eastAsia" w:ascii="仿宋_GB2312" w:hAnsi="宋体"/>
          <w:color w:val="auto"/>
          <w:sz w:val="32"/>
          <w:szCs w:val="32"/>
          <w:lang w:val="en-US" w:eastAsia="zh-CN"/>
        </w:rPr>
        <w:t>行为的危害</w:t>
      </w:r>
      <w:r>
        <w:rPr>
          <w:rFonts w:hint="default" w:ascii="仿宋_GB2312" w:hAnsi="宋体" w:eastAsia="仿宋_GB2312"/>
          <w:color w:val="auto"/>
          <w:sz w:val="32"/>
          <w:szCs w:val="32"/>
          <w:lang w:val="en-US" w:eastAsia="zh-CN"/>
        </w:rPr>
        <w:t>，必要时将不配合家属的患者转为封闭管理，避免因家属的不配合酿成事故。</w:t>
      </w:r>
    </w:p>
    <w:p w14:paraId="718D1E5C">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探视是情感支持，也是干扰源。白天固定</w:t>
      </w:r>
      <w:r>
        <w:rPr>
          <w:rFonts w:hint="eastAsia" w:ascii="仿宋_GB2312" w:hAnsi="宋体"/>
          <w:color w:val="auto"/>
          <w:sz w:val="32"/>
          <w:szCs w:val="32"/>
          <w:lang w:val="en-US" w:eastAsia="zh-CN"/>
        </w:rPr>
        <w:t>时间探视</w:t>
      </w:r>
      <w:r>
        <w:rPr>
          <w:rFonts w:hint="default" w:ascii="仿宋_GB2312" w:hAnsi="宋体" w:eastAsia="仿宋_GB2312"/>
          <w:color w:val="auto"/>
          <w:sz w:val="32"/>
          <w:szCs w:val="32"/>
          <w:lang w:val="en-US" w:eastAsia="zh-CN"/>
        </w:rPr>
        <w:t>是为保障患者正常的治疗和午休作息，避免探视打乱治疗节奏。精神障碍患者应对复杂社交刺激的能力减弱，人过多易引发患者紧张、兴奋甚至病情波动。当患者处于激越状态时，探视会加剧其情绪失控，甚至</w:t>
      </w:r>
      <w:r>
        <w:rPr>
          <w:rFonts w:hint="eastAsia" w:ascii="仿宋_GB2312" w:hAnsi="宋体"/>
          <w:color w:val="auto"/>
          <w:sz w:val="32"/>
          <w:szCs w:val="32"/>
          <w:lang w:val="en-US" w:eastAsia="zh-CN"/>
        </w:rPr>
        <w:t>会有攻击行为，因此需要对患者进行评估是否适宜进行探视</w:t>
      </w:r>
      <w:r>
        <w:rPr>
          <w:rFonts w:hint="default" w:ascii="仿宋_GB2312" w:hAnsi="宋体" w:eastAsia="仿宋_GB2312"/>
          <w:color w:val="auto"/>
          <w:sz w:val="32"/>
          <w:szCs w:val="32"/>
          <w:lang w:val="en-US" w:eastAsia="zh-CN"/>
        </w:rPr>
        <w:t>。</w:t>
      </w:r>
    </w:p>
    <w:p w14:paraId="1A4799F9">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4.3</w:t>
      </w:r>
      <w:r>
        <w:rPr>
          <w:rFonts w:hint="default" w:ascii="仿宋_GB2312" w:hAnsi="宋体" w:eastAsia="仿宋_GB2312"/>
          <w:color w:val="auto"/>
          <w:sz w:val="32"/>
          <w:szCs w:val="32"/>
          <w:lang w:val="en-US" w:eastAsia="zh-CN"/>
        </w:rPr>
        <w:t>外出与返院</w:t>
      </w:r>
    </w:p>
    <w:p w14:paraId="02DB1709">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外出是开放式管理中最具特色的自由度体现，也是风险</w:t>
      </w:r>
      <w:r>
        <w:rPr>
          <w:rFonts w:hint="eastAsia" w:ascii="仿宋_GB2312" w:hAnsi="宋体"/>
          <w:color w:val="auto"/>
          <w:sz w:val="32"/>
          <w:szCs w:val="32"/>
          <w:lang w:val="en-US" w:eastAsia="zh-CN"/>
        </w:rPr>
        <w:t>较</w:t>
      </w:r>
      <w:r>
        <w:rPr>
          <w:rFonts w:hint="default" w:ascii="仿宋_GB2312" w:hAnsi="宋体" w:eastAsia="仿宋_GB2312"/>
          <w:color w:val="auto"/>
          <w:sz w:val="32"/>
          <w:szCs w:val="32"/>
          <w:lang w:val="en-US" w:eastAsia="zh-CN"/>
        </w:rPr>
        <w:t>高的环节，因此设置了最严密的</w:t>
      </w:r>
      <w:r>
        <w:rPr>
          <w:rFonts w:hint="eastAsia" w:ascii="仿宋_GB2312" w:hAnsi="宋体"/>
          <w:color w:val="auto"/>
          <w:sz w:val="32"/>
          <w:szCs w:val="32"/>
          <w:lang w:val="en-US" w:eastAsia="zh-CN"/>
        </w:rPr>
        <w:t>管理</w:t>
      </w:r>
      <w:r>
        <w:rPr>
          <w:rFonts w:hint="default" w:ascii="仿宋_GB2312" w:hAnsi="宋体" w:eastAsia="仿宋_GB2312"/>
          <w:color w:val="auto"/>
          <w:sz w:val="32"/>
          <w:szCs w:val="32"/>
          <w:lang w:val="en-US" w:eastAsia="zh-CN"/>
        </w:rPr>
        <w:t>机制。开放式病房并非无限制开</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限定</w:t>
      </w:r>
      <w:r>
        <w:rPr>
          <w:rFonts w:hint="eastAsia" w:ascii="仿宋_GB2312" w:hAnsi="宋体"/>
          <w:color w:val="auto"/>
          <w:sz w:val="32"/>
          <w:szCs w:val="32"/>
          <w:lang w:val="en-US" w:eastAsia="zh-CN"/>
        </w:rPr>
        <w:t>活动范围在</w:t>
      </w:r>
      <w:r>
        <w:rPr>
          <w:rFonts w:hint="default" w:ascii="仿宋_GB2312" w:hAnsi="宋体" w:eastAsia="仿宋_GB2312"/>
          <w:color w:val="auto"/>
          <w:sz w:val="32"/>
          <w:szCs w:val="32"/>
          <w:lang w:val="en-US" w:eastAsia="zh-CN"/>
        </w:rPr>
        <w:t>院内</w:t>
      </w:r>
      <w:r>
        <w:rPr>
          <w:rFonts w:hint="eastAsia" w:ascii="仿宋_GB2312" w:hAnsi="宋体"/>
          <w:color w:val="auto"/>
          <w:sz w:val="32"/>
          <w:szCs w:val="32"/>
          <w:lang w:val="en-US" w:eastAsia="zh-CN"/>
        </w:rPr>
        <w:t>，因为</w:t>
      </w:r>
      <w:r>
        <w:rPr>
          <w:rFonts w:hint="default" w:ascii="仿宋_GB2312" w:hAnsi="宋体" w:eastAsia="仿宋_GB2312"/>
          <w:color w:val="auto"/>
          <w:sz w:val="32"/>
          <w:szCs w:val="32"/>
          <w:lang w:val="en-US" w:eastAsia="zh-CN"/>
        </w:rPr>
        <w:t>医院有安保、医疗资源，</w:t>
      </w:r>
      <w:r>
        <w:rPr>
          <w:rFonts w:hint="eastAsia" w:ascii="仿宋_GB2312" w:hAnsi="宋体"/>
          <w:color w:val="auto"/>
          <w:sz w:val="32"/>
          <w:szCs w:val="32"/>
          <w:lang w:val="en-US" w:eastAsia="zh-CN"/>
        </w:rPr>
        <w:t>出现特殊情况</w:t>
      </w:r>
      <w:r>
        <w:rPr>
          <w:rFonts w:hint="default" w:ascii="仿宋_GB2312" w:hAnsi="宋体" w:eastAsia="仿宋_GB2312"/>
          <w:color w:val="auto"/>
          <w:sz w:val="32"/>
          <w:szCs w:val="32"/>
          <w:lang w:val="en-US" w:eastAsia="zh-CN"/>
        </w:rPr>
        <w:t>能</w:t>
      </w:r>
      <w:r>
        <w:rPr>
          <w:rFonts w:hint="eastAsia" w:ascii="仿宋_GB2312" w:hAnsi="宋体"/>
          <w:color w:val="auto"/>
          <w:sz w:val="32"/>
          <w:szCs w:val="32"/>
          <w:lang w:val="en-US" w:eastAsia="zh-CN"/>
        </w:rPr>
        <w:t>即使救援。</w:t>
      </w:r>
      <w:r>
        <w:rPr>
          <w:rFonts w:hint="default" w:ascii="仿宋_GB2312" w:hAnsi="宋体" w:eastAsia="仿宋_GB2312"/>
          <w:color w:val="auto"/>
          <w:sz w:val="32"/>
          <w:szCs w:val="32"/>
          <w:lang w:val="en-US" w:eastAsia="zh-CN"/>
        </w:rPr>
        <w:t>全程陪同</w:t>
      </w:r>
      <w:r>
        <w:rPr>
          <w:rFonts w:hint="eastAsia" w:ascii="仿宋_GB2312" w:hAnsi="宋体"/>
          <w:color w:val="auto"/>
          <w:sz w:val="32"/>
          <w:szCs w:val="32"/>
          <w:lang w:val="en-US" w:eastAsia="zh-CN"/>
        </w:rPr>
        <w:t>患者，防止</w:t>
      </w:r>
      <w:r>
        <w:rPr>
          <w:rFonts w:hint="default" w:ascii="仿宋_GB2312" w:hAnsi="宋体" w:eastAsia="仿宋_GB2312"/>
          <w:color w:val="auto"/>
          <w:sz w:val="32"/>
          <w:szCs w:val="32"/>
          <w:lang w:val="en-US" w:eastAsia="zh-CN"/>
        </w:rPr>
        <w:t>患者自知力不全，可能因幻觉突然冲入危险区域。</w:t>
      </w:r>
    </w:p>
    <w:p w14:paraId="38BE1B38">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外出前双重评估+签署告知书+登记表</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将外出审批制度化，由医护共同评估避免个人误判。签署告知书知外出可能走失、受伤，登记表记录联系电话和预计返回时间，是为超时未归提供启动应急预案的精确数据支撑。高风险患者</w:t>
      </w:r>
      <w:r>
        <w:rPr>
          <w:rFonts w:hint="eastAsia" w:ascii="仿宋_GB2312" w:hAnsi="宋体"/>
          <w:color w:val="auto"/>
          <w:sz w:val="32"/>
          <w:szCs w:val="32"/>
          <w:lang w:val="en-US" w:eastAsia="zh-CN"/>
        </w:rPr>
        <w:t>可能有</w:t>
      </w:r>
      <w:r>
        <w:rPr>
          <w:rFonts w:hint="default" w:ascii="仿宋_GB2312" w:hAnsi="宋体" w:eastAsia="仿宋_GB2312"/>
          <w:color w:val="auto"/>
          <w:sz w:val="32"/>
          <w:szCs w:val="32"/>
          <w:lang w:val="en-US" w:eastAsia="zh-CN"/>
        </w:rPr>
        <w:t>自杀/暴力/离院高风险，说明当前状态不具备自主能力，</w:t>
      </w:r>
      <w:r>
        <w:rPr>
          <w:rFonts w:hint="eastAsia" w:ascii="仿宋_GB2312" w:hAnsi="宋体"/>
          <w:color w:val="auto"/>
          <w:sz w:val="32"/>
          <w:szCs w:val="32"/>
          <w:lang w:val="en-US" w:eastAsia="zh-CN"/>
        </w:rPr>
        <w:t>不适宜外出。</w:t>
      </w:r>
      <w:r>
        <w:rPr>
          <w:rFonts w:hint="default" w:ascii="仿宋_GB2312" w:hAnsi="宋体" w:eastAsia="仿宋_GB2312"/>
          <w:color w:val="auto"/>
          <w:sz w:val="32"/>
          <w:szCs w:val="32"/>
          <w:lang w:val="en-US" w:eastAsia="zh-CN"/>
        </w:rPr>
        <w:t>基于精神科患者可能</w:t>
      </w:r>
      <w:r>
        <w:rPr>
          <w:rFonts w:hint="eastAsia" w:ascii="仿宋_GB2312" w:hAnsi="宋体"/>
          <w:color w:val="auto"/>
          <w:sz w:val="32"/>
          <w:szCs w:val="32"/>
          <w:lang w:val="en-US" w:eastAsia="zh-CN"/>
        </w:rPr>
        <w:t>会</w:t>
      </w:r>
      <w:r>
        <w:rPr>
          <w:rFonts w:hint="default" w:ascii="仿宋_GB2312" w:hAnsi="宋体" w:eastAsia="仿宋_GB2312"/>
          <w:color w:val="auto"/>
          <w:sz w:val="32"/>
          <w:szCs w:val="32"/>
          <w:lang w:val="en-US" w:eastAsia="zh-CN"/>
        </w:rPr>
        <w:t>情绪崩溃，按时电话联系</w:t>
      </w:r>
      <w:r>
        <w:rPr>
          <w:rFonts w:hint="eastAsia" w:ascii="仿宋_GB2312" w:hAnsi="宋体"/>
          <w:color w:val="auto"/>
          <w:sz w:val="32"/>
          <w:szCs w:val="32"/>
          <w:lang w:val="en-US" w:eastAsia="zh-CN"/>
        </w:rPr>
        <w:t>陪同者</w:t>
      </w:r>
      <w:r>
        <w:rPr>
          <w:rFonts w:hint="default" w:ascii="仿宋_GB2312" w:hAnsi="宋体" w:eastAsia="仿宋_GB2312"/>
          <w:color w:val="auto"/>
          <w:sz w:val="32"/>
          <w:szCs w:val="32"/>
          <w:lang w:val="en-US" w:eastAsia="zh-CN"/>
        </w:rPr>
        <w:t>，在外出期间建立</w:t>
      </w:r>
      <w:r>
        <w:rPr>
          <w:rFonts w:hint="eastAsia" w:ascii="仿宋_GB2312" w:hAnsi="宋体"/>
          <w:color w:val="auto"/>
          <w:sz w:val="32"/>
          <w:szCs w:val="32"/>
          <w:lang w:val="en-US" w:eastAsia="zh-CN"/>
        </w:rPr>
        <w:t>联系</w:t>
      </w:r>
      <w:r>
        <w:rPr>
          <w:rFonts w:hint="default" w:ascii="仿宋_GB2312" w:hAnsi="宋体" w:eastAsia="仿宋_GB2312"/>
          <w:color w:val="auto"/>
          <w:sz w:val="32"/>
          <w:szCs w:val="32"/>
          <w:lang w:val="en-US" w:eastAsia="zh-CN"/>
        </w:rPr>
        <w:t>，确保意外发生时能第一时间发现。</w:t>
      </w:r>
    </w:p>
    <w:p w14:paraId="549893D8">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患者返院后重新检查身体和物品，因为外出期间可能获得外部危险品。若带回危险品，</w:t>
      </w:r>
      <w:r>
        <w:rPr>
          <w:rFonts w:hint="eastAsia" w:ascii="仿宋_GB2312" w:hAnsi="宋体"/>
          <w:color w:val="auto"/>
          <w:sz w:val="32"/>
          <w:szCs w:val="32"/>
          <w:lang w:val="en-US" w:eastAsia="zh-CN"/>
        </w:rPr>
        <w:t>短时间内</w:t>
      </w:r>
      <w:r>
        <w:rPr>
          <w:rFonts w:hint="default" w:ascii="仿宋_GB2312" w:hAnsi="宋体" w:eastAsia="仿宋_GB2312"/>
          <w:color w:val="auto"/>
          <w:sz w:val="32"/>
          <w:szCs w:val="32"/>
          <w:lang w:val="en-US" w:eastAsia="zh-CN"/>
        </w:rPr>
        <w:t>限制外出</w:t>
      </w:r>
      <w:r>
        <w:rPr>
          <w:rFonts w:hint="eastAsia" w:ascii="仿宋_GB2312" w:hAnsi="宋体"/>
          <w:color w:val="auto"/>
          <w:sz w:val="32"/>
          <w:szCs w:val="32"/>
          <w:lang w:val="en-US" w:eastAsia="zh-CN"/>
        </w:rPr>
        <w:t>并进行安全健康教育</w:t>
      </w:r>
      <w:r>
        <w:rPr>
          <w:rFonts w:hint="default" w:ascii="仿宋_GB2312" w:hAnsi="宋体" w:eastAsia="仿宋_GB2312"/>
          <w:color w:val="auto"/>
          <w:sz w:val="32"/>
          <w:szCs w:val="32"/>
          <w:lang w:val="en-US" w:eastAsia="zh-CN"/>
        </w:rPr>
        <w:t>，强化患者及家属对安全规则的认知。</w:t>
      </w: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190"/>
        <w:gridCol w:w="2984"/>
      </w:tblGrid>
      <w:tr w14:paraId="0832D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190" w:type="dxa"/>
            <w:vAlign w:val="center"/>
          </w:tcPr>
          <w:p w14:paraId="5C4AF8EF">
            <w:pPr>
              <w:pStyle w:val="2"/>
              <w:jc w:val="center"/>
              <w:rPr>
                <w:rFonts w:hint="default" w:ascii="仿宋_GB2312" w:hAnsi="宋体" w:eastAsia="仿宋_GB2312"/>
                <w:color w:val="auto"/>
                <w:sz w:val="32"/>
                <w:szCs w:val="32"/>
                <w:vertAlign w:val="baseline"/>
                <w:lang w:val="en-US" w:eastAsia="zh-CN"/>
              </w:rPr>
            </w:pPr>
            <w:r>
              <w:drawing>
                <wp:inline distT="0" distB="0" distL="114300" distR="114300">
                  <wp:extent cx="1444625" cy="2160270"/>
                  <wp:effectExtent l="0" t="0" r="3175" b="1143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2"/>
                          <a:stretch>
                            <a:fillRect/>
                          </a:stretch>
                        </pic:blipFill>
                        <pic:spPr>
                          <a:xfrm>
                            <a:off x="0" y="0"/>
                            <a:ext cx="1444625" cy="2160270"/>
                          </a:xfrm>
                          <a:prstGeom prst="rect">
                            <a:avLst/>
                          </a:prstGeom>
                          <a:noFill/>
                          <a:ln>
                            <a:noFill/>
                          </a:ln>
                        </pic:spPr>
                      </pic:pic>
                    </a:graphicData>
                  </a:graphic>
                </wp:inline>
              </w:drawing>
            </w:r>
          </w:p>
        </w:tc>
        <w:tc>
          <w:tcPr>
            <w:tcW w:w="2984" w:type="dxa"/>
            <w:vAlign w:val="center"/>
          </w:tcPr>
          <w:p w14:paraId="71B25E9D">
            <w:pPr>
              <w:pStyle w:val="2"/>
              <w:jc w:val="center"/>
            </w:pPr>
            <w:r>
              <w:drawing>
                <wp:inline distT="0" distB="0" distL="114300" distR="114300">
                  <wp:extent cx="1615440" cy="2160270"/>
                  <wp:effectExtent l="0" t="0" r="10160" b="1143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3"/>
                          <a:stretch>
                            <a:fillRect/>
                          </a:stretch>
                        </pic:blipFill>
                        <pic:spPr>
                          <a:xfrm>
                            <a:off x="0" y="0"/>
                            <a:ext cx="1615440" cy="2160270"/>
                          </a:xfrm>
                          <a:prstGeom prst="rect">
                            <a:avLst/>
                          </a:prstGeom>
                          <a:noFill/>
                          <a:ln>
                            <a:noFill/>
                          </a:ln>
                        </pic:spPr>
                      </pic:pic>
                    </a:graphicData>
                  </a:graphic>
                </wp:inline>
              </w:drawing>
            </w:r>
          </w:p>
        </w:tc>
      </w:tr>
      <w:tr w14:paraId="03D34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6190" w:type="dxa"/>
            <w:vAlign w:val="center"/>
          </w:tcPr>
          <w:p w14:paraId="33E2DAC5">
            <w:pPr>
              <w:pStyle w:val="2"/>
              <w:jc w:val="center"/>
              <w:rPr>
                <w:rFonts w:hint="default" w:ascii="仿宋_GB2312" w:hAnsi="宋体" w:eastAsia="仿宋_GB2312"/>
                <w:color w:val="auto"/>
                <w:sz w:val="24"/>
                <w:szCs w:val="24"/>
                <w:vertAlign w:val="baseline"/>
                <w:lang w:val="en-US" w:eastAsia="zh-CN"/>
              </w:rPr>
            </w:pPr>
            <w:r>
              <w:rPr>
                <w:rFonts w:hint="eastAsia" w:ascii="仿宋_GB2312" w:hAnsi="宋体" w:eastAsia="仿宋_GB2312"/>
                <w:color w:val="auto"/>
                <w:sz w:val="24"/>
                <w:szCs w:val="24"/>
                <w:vertAlign w:val="baseline"/>
                <w:lang w:val="en-US" w:eastAsia="zh-CN"/>
              </w:rPr>
              <w:t>图6 患者外出登记表</w:t>
            </w:r>
          </w:p>
        </w:tc>
        <w:tc>
          <w:tcPr>
            <w:tcW w:w="2984" w:type="dxa"/>
            <w:vAlign w:val="center"/>
          </w:tcPr>
          <w:p w14:paraId="35254BF0">
            <w:pPr>
              <w:pStyle w:val="2"/>
              <w:jc w:val="center"/>
              <w:rPr>
                <w:rFonts w:hint="default" w:ascii="仿宋_GB2312" w:hAnsi="宋体" w:eastAsia="仿宋_GB2312"/>
                <w:color w:val="auto"/>
                <w:sz w:val="24"/>
                <w:szCs w:val="24"/>
                <w:vertAlign w:val="baseline"/>
                <w:lang w:val="en-US" w:eastAsia="zh-CN"/>
              </w:rPr>
            </w:pPr>
            <w:r>
              <w:rPr>
                <w:rFonts w:hint="eastAsia" w:ascii="仿宋_GB2312" w:hAnsi="宋体" w:eastAsia="仿宋_GB2312"/>
                <w:color w:val="auto"/>
                <w:sz w:val="24"/>
                <w:szCs w:val="24"/>
                <w:vertAlign w:val="baseline"/>
                <w:lang w:val="en-US" w:eastAsia="zh-CN"/>
              </w:rPr>
              <w:t>图7 患者外出评估表</w:t>
            </w:r>
          </w:p>
        </w:tc>
      </w:tr>
      <w:tr w14:paraId="45F946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9174" w:type="dxa"/>
            <w:gridSpan w:val="2"/>
            <w:vAlign w:val="center"/>
          </w:tcPr>
          <w:p w14:paraId="34E46082">
            <w:pPr>
              <w:pStyle w:val="2"/>
              <w:jc w:val="center"/>
              <w:rPr>
                <w:rFonts w:hint="eastAsia" w:ascii="仿宋_GB2312" w:hAnsi="宋体" w:eastAsia="仿宋_GB2312"/>
                <w:color w:val="auto"/>
                <w:sz w:val="28"/>
                <w:szCs w:val="28"/>
                <w:vertAlign w:val="baseline"/>
                <w:lang w:val="en-US" w:eastAsia="zh-CN"/>
              </w:rPr>
            </w:pPr>
            <w:r>
              <w:drawing>
                <wp:inline distT="0" distB="0" distL="114300" distR="114300">
                  <wp:extent cx="4682490" cy="2609850"/>
                  <wp:effectExtent l="0" t="0" r="3810" b="635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14"/>
                          <a:stretch>
                            <a:fillRect/>
                          </a:stretch>
                        </pic:blipFill>
                        <pic:spPr>
                          <a:xfrm>
                            <a:off x="0" y="0"/>
                            <a:ext cx="4682490" cy="2609850"/>
                          </a:xfrm>
                          <a:prstGeom prst="rect">
                            <a:avLst/>
                          </a:prstGeom>
                          <a:noFill/>
                          <a:ln>
                            <a:noFill/>
                          </a:ln>
                        </pic:spPr>
                      </pic:pic>
                    </a:graphicData>
                  </a:graphic>
                </wp:inline>
              </w:drawing>
            </w:r>
          </w:p>
        </w:tc>
      </w:tr>
      <w:tr w14:paraId="1DE17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9174" w:type="dxa"/>
            <w:gridSpan w:val="2"/>
            <w:vAlign w:val="center"/>
          </w:tcPr>
          <w:p w14:paraId="3BA512E2">
            <w:pPr>
              <w:pStyle w:val="2"/>
              <w:jc w:val="center"/>
              <w:rPr>
                <w:rFonts w:hint="default" w:eastAsia="宋体"/>
                <w:lang w:val="en-US" w:eastAsia="zh-CN"/>
              </w:rPr>
            </w:pPr>
            <w:r>
              <w:rPr>
                <w:rFonts w:hint="eastAsia" w:ascii="仿宋_GB2312" w:hAnsi="仿宋_GB2312" w:eastAsia="仿宋_GB2312" w:cs="仿宋_GB2312"/>
                <w:sz w:val="24"/>
                <w:szCs w:val="24"/>
                <w:lang w:val="en-US" w:eastAsia="zh-CN"/>
              </w:rPr>
              <w:t>图8 护理工作一览表</w:t>
            </w:r>
          </w:p>
        </w:tc>
      </w:tr>
    </w:tbl>
    <w:p w14:paraId="56D837A2">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4.4</w:t>
      </w:r>
      <w:r>
        <w:rPr>
          <w:rFonts w:hint="default" w:ascii="仿宋_GB2312" w:hAnsi="宋体" w:eastAsia="仿宋_GB2312"/>
          <w:color w:val="auto"/>
          <w:sz w:val="32"/>
          <w:szCs w:val="32"/>
          <w:lang w:val="en-US" w:eastAsia="zh-CN"/>
        </w:rPr>
        <w:t>转科、转诊或出院</w:t>
      </w:r>
    </w:p>
    <w:p w14:paraId="525597C7">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开放式病房的资源能力有限。当患者病情恶化（症状加重或严重躯体疾病）</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必须及时转移以获取更高强度的监护，防止在开放区域发生恶性事件。</w:t>
      </w:r>
    </w:p>
    <w:p w14:paraId="7009EF6B">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转诊体现分级诊疗</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急性期在专科医院控制住后，长期的康复训练（如社交、服药依从性）更适合在社区进行。这缓解了大型专科医院的床位压力，也让患者回归更接近真实的社会环境。</w:t>
      </w:r>
    </w:p>
    <w:p w14:paraId="1148FDDF">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精神疾病复发率高，</w:t>
      </w:r>
      <w:r>
        <w:rPr>
          <w:rFonts w:hint="eastAsia" w:ascii="仿宋_GB2312" w:hAnsi="宋体"/>
          <w:color w:val="auto"/>
          <w:sz w:val="32"/>
          <w:szCs w:val="32"/>
          <w:lang w:val="en-US" w:eastAsia="zh-CN"/>
        </w:rPr>
        <w:t>因患者或家属个人原因要求出院，</w:t>
      </w:r>
      <w:r>
        <w:rPr>
          <w:rFonts w:hint="default" w:ascii="仿宋_GB2312" w:hAnsi="宋体" w:eastAsia="仿宋_GB2312"/>
          <w:color w:val="auto"/>
          <w:sz w:val="32"/>
          <w:szCs w:val="32"/>
          <w:lang w:val="en-US" w:eastAsia="zh-CN"/>
        </w:rPr>
        <w:t>要求签署知情同意书并告知风险，是履行充分告知</w:t>
      </w:r>
      <w:r>
        <w:rPr>
          <w:rFonts w:hint="eastAsia" w:ascii="仿宋_GB2312" w:hAnsi="宋体"/>
          <w:color w:val="auto"/>
          <w:sz w:val="32"/>
          <w:szCs w:val="32"/>
          <w:lang w:val="en-US" w:eastAsia="zh-CN"/>
        </w:rPr>
        <w:t>的义</w:t>
      </w:r>
      <w:r>
        <w:rPr>
          <w:rFonts w:hint="default" w:ascii="仿宋_GB2312" w:hAnsi="宋体" w:eastAsia="仿宋_GB2312"/>
          <w:color w:val="auto"/>
          <w:sz w:val="32"/>
          <w:szCs w:val="32"/>
          <w:lang w:val="en-US" w:eastAsia="zh-CN"/>
        </w:rPr>
        <w:t>务。</w:t>
      </w:r>
      <w:r>
        <w:rPr>
          <w:rFonts w:hint="eastAsia" w:ascii="仿宋_GB2312" w:hAnsi="宋体"/>
          <w:color w:val="auto"/>
          <w:sz w:val="32"/>
          <w:szCs w:val="32"/>
          <w:lang w:val="en-US" w:eastAsia="zh-CN"/>
        </w:rPr>
        <w:t>同时</w:t>
      </w:r>
      <w:r>
        <w:rPr>
          <w:rFonts w:hint="default" w:ascii="仿宋_GB2312" w:hAnsi="宋体" w:eastAsia="仿宋_GB2312"/>
          <w:color w:val="auto"/>
          <w:sz w:val="32"/>
          <w:szCs w:val="32"/>
          <w:lang w:val="en-US" w:eastAsia="zh-CN"/>
        </w:rPr>
        <w:t>系统性的居家指导（服药、复诊、家庭支持）将医院内的康复惯性延伸到家庭，帮助家属识别复发前兆（如失眠、拒食），做到早干预，降低再入院率。</w:t>
      </w: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1BF8F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4587" w:type="dxa"/>
            <w:vAlign w:val="center"/>
          </w:tcPr>
          <w:p w14:paraId="36FA03B2">
            <w:pPr>
              <w:pStyle w:val="2"/>
              <w:jc w:val="center"/>
              <w:rPr>
                <w:rFonts w:hint="eastAsia" w:ascii="仿宋_GB2312" w:hAnsi="宋体" w:eastAsia="仿宋_GB2312"/>
                <w:color w:val="auto"/>
                <w:sz w:val="28"/>
                <w:szCs w:val="28"/>
                <w:vertAlign w:val="baseline"/>
                <w:lang w:val="en-US" w:eastAsia="zh-CN"/>
              </w:rPr>
            </w:pPr>
            <w:r>
              <w:drawing>
                <wp:inline distT="0" distB="0" distL="114300" distR="114300">
                  <wp:extent cx="1966595" cy="1440180"/>
                  <wp:effectExtent l="0" t="0" r="1905" b="762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5"/>
                          <a:stretch>
                            <a:fillRect/>
                          </a:stretch>
                        </pic:blipFill>
                        <pic:spPr>
                          <a:xfrm>
                            <a:off x="0" y="0"/>
                            <a:ext cx="1966595" cy="1440180"/>
                          </a:xfrm>
                          <a:prstGeom prst="rect">
                            <a:avLst/>
                          </a:prstGeom>
                          <a:noFill/>
                          <a:ln>
                            <a:noFill/>
                          </a:ln>
                        </pic:spPr>
                      </pic:pic>
                    </a:graphicData>
                  </a:graphic>
                </wp:inline>
              </w:drawing>
            </w:r>
          </w:p>
        </w:tc>
        <w:tc>
          <w:tcPr>
            <w:tcW w:w="4587" w:type="dxa"/>
            <w:vAlign w:val="center"/>
          </w:tcPr>
          <w:p w14:paraId="697BA487">
            <w:pPr>
              <w:pStyle w:val="2"/>
              <w:jc w:val="center"/>
              <w:rPr>
                <w:rFonts w:hint="eastAsia" w:ascii="仿宋_GB2312" w:hAnsi="宋体" w:eastAsia="仿宋_GB2312"/>
                <w:color w:val="auto"/>
                <w:sz w:val="28"/>
                <w:szCs w:val="28"/>
                <w:vertAlign w:val="baseline"/>
                <w:lang w:val="en-US" w:eastAsia="zh-CN"/>
              </w:rPr>
            </w:pPr>
            <w:r>
              <w:drawing>
                <wp:inline distT="0" distB="0" distL="114300" distR="114300">
                  <wp:extent cx="2146300" cy="1440180"/>
                  <wp:effectExtent l="0" t="0" r="0" b="762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6"/>
                          <a:stretch>
                            <a:fillRect/>
                          </a:stretch>
                        </pic:blipFill>
                        <pic:spPr>
                          <a:xfrm>
                            <a:off x="0" y="0"/>
                            <a:ext cx="2146300" cy="1440180"/>
                          </a:xfrm>
                          <a:prstGeom prst="rect">
                            <a:avLst/>
                          </a:prstGeom>
                          <a:noFill/>
                          <a:ln>
                            <a:noFill/>
                          </a:ln>
                        </pic:spPr>
                      </pic:pic>
                    </a:graphicData>
                  </a:graphic>
                </wp:inline>
              </w:drawing>
            </w:r>
          </w:p>
        </w:tc>
      </w:tr>
      <w:tr w14:paraId="53B7B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9174" w:type="dxa"/>
            <w:gridSpan w:val="2"/>
            <w:vAlign w:val="center"/>
          </w:tcPr>
          <w:p w14:paraId="2B6133A9">
            <w:pPr>
              <w:pStyle w:val="2"/>
              <w:jc w:val="center"/>
              <w:rPr>
                <w:rFonts w:hint="default" w:eastAsia="宋体"/>
                <w:lang w:val="en-US" w:eastAsia="zh-CN"/>
              </w:rPr>
            </w:pPr>
            <w:r>
              <w:rPr>
                <w:rFonts w:hint="eastAsia" w:ascii="仿宋_GB2312" w:hAnsi="宋体" w:eastAsia="仿宋_GB2312"/>
                <w:color w:val="auto"/>
                <w:sz w:val="24"/>
                <w:szCs w:val="24"/>
                <w:vertAlign w:val="baseline"/>
                <w:lang w:val="en-US" w:eastAsia="zh-CN"/>
              </w:rPr>
              <w:t>图9 外出返回检查</w:t>
            </w:r>
          </w:p>
        </w:tc>
      </w:tr>
      <w:tr w14:paraId="759FCB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9174" w:type="dxa"/>
            <w:gridSpan w:val="2"/>
            <w:vAlign w:val="center"/>
          </w:tcPr>
          <w:p w14:paraId="2D12C109">
            <w:pPr>
              <w:pStyle w:val="2"/>
              <w:jc w:val="center"/>
              <w:rPr>
                <w:rFonts w:hint="eastAsia" w:ascii="仿宋_GB2312" w:hAnsi="宋体" w:eastAsia="仿宋_GB2312"/>
                <w:color w:val="auto"/>
                <w:sz w:val="28"/>
                <w:szCs w:val="28"/>
                <w:vertAlign w:val="baseline"/>
                <w:lang w:val="en-US" w:eastAsia="zh-CN"/>
              </w:rPr>
            </w:pPr>
            <w:r>
              <w:drawing>
                <wp:inline distT="0" distB="0" distL="114300" distR="114300">
                  <wp:extent cx="1002030" cy="1518285"/>
                  <wp:effectExtent l="0" t="0" r="1270" b="5715"/>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7"/>
                          <a:stretch>
                            <a:fillRect/>
                          </a:stretch>
                        </pic:blipFill>
                        <pic:spPr>
                          <a:xfrm>
                            <a:off x="0" y="0"/>
                            <a:ext cx="1002030" cy="1518285"/>
                          </a:xfrm>
                          <a:prstGeom prst="rect">
                            <a:avLst/>
                          </a:prstGeom>
                          <a:noFill/>
                          <a:ln>
                            <a:noFill/>
                          </a:ln>
                        </pic:spPr>
                      </pic:pic>
                    </a:graphicData>
                  </a:graphic>
                </wp:inline>
              </w:drawing>
            </w:r>
          </w:p>
        </w:tc>
      </w:tr>
      <w:tr w14:paraId="676FD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9174" w:type="dxa"/>
            <w:gridSpan w:val="2"/>
            <w:vAlign w:val="center"/>
          </w:tcPr>
          <w:p w14:paraId="3AFFA58D">
            <w:pPr>
              <w:pStyle w:val="2"/>
              <w:jc w:val="center"/>
            </w:pPr>
            <w:r>
              <w:rPr>
                <w:rFonts w:hint="eastAsia" w:ascii="仿宋_GB2312" w:hAnsi="宋体" w:eastAsia="仿宋_GB2312"/>
                <w:color w:val="auto"/>
                <w:sz w:val="24"/>
                <w:szCs w:val="24"/>
                <w:vertAlign w:val="baseline"/>
                <w:lang w:val="en-US" w:eastAsia="zh-CN"/>
              </w:rPr>
              <w:t>图10 新入院或高风险患者外出返回进行全身检查</w:t>
            </w:r>
          </w:p>
        </w:tc>
      </w:tr>
    </w:tbl>
    <w:p w14:paraId="6B334FCD">
      <w:pPr>
        <w:keepNext w:val="0"/>
        <w:keepLines w:val="0"/>
        <w:pageBreakBefore w:val="0"/>
        <w:kinsoku/>
        <w:overflowPunct/>
        <w:topLinePunct w:val="0"/>
        <w:bidi w:val="0"/>
        <w:snapToGrid/>
        <w:ind w:left="0" w:firstLine="643" w:firstLineChars="200"/>
        <w:textAlignment w:val="auto"/>
        <w:rPr>
          <w:rFonts w:hint="default"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en-US" w:eastAsia="zh-CN" w:bidi="ar-SA"/>
        </w:rPr>
        <w:t>（五）</w:t>
      </w:r>
      <w:r>
        <w:rPr>
          <w:rFonts w:hint="eastAsia" w:ascii="仿宋_GB2312" w:hAnsi="宋体"/>
          <w:color w:val="auto"/>
          <w:sz w:val="32"/>
          <w:szCs w:val="32"/>
          <w:lang w:val="en-US" w:eastAsia="zh-CN"/>
        </w:rPr>
        <w:t>安全管理</w:t>
      </w:r>
    </w:p>
    <w:p w14:paraId="74F9682A">
      <w:pPr>
        <w:keepNext w:val="0"/>
        <w:keepLines w:val="0"/>
        <w:pageBreakBefore w:val="0"/>
        <w:kinsoku/>
        <w:overflowPunct/>
        <w:topLinePunct w:val="0"/>
        <w:autoSpaceDE/>
        <w:autoSpaceDN/>
        <w:bidi w:val="0"/>
        <w:adjustRightInd/>
        <w:snapToGrid/>
        <w:spacing w:line="240" w:lineRule="auto"/>
        <w:ind w:left="0" w:leftChars="0" w:firstLine="640" w:firstLineChars="200"/>
        <w:jc w:val="left"/>
        <w:textAlignment w:val="auto"/>
        <w:rPr>
          <w:rFonts w:hint="default" w:ascii="仿宋_GB2312" w:hAnsi="宋体" w:eastAsia="仿宋_GB2312" w:cs="Times New Roman"/>
          <w:b w:val="0"/>
          <w:bCs w:val="0"/>
          <w:color w:val="auto"/>
          <w:sz w:val="32"/>
          <w:szCs w:val="32"/>
          <w:lang w:val="en-US" w:eastAsia="zh-CN"/>
        </w:rPr>
      </w:pPr>
      <w:r>
        <w:rPr>
          <w:rFonts w:hint="eastAsia" w:ascii="仿宋_GB2312" w:hAnsi="宋体" w:cs="Times New Roman"/>
          <w:b w:val="0"/>
          <w:bCs w:val="0"/>
          <w:color w:val="auto"/>
          <w:sz w:val="32"/>
          <w:szCs w:val="32"/>
          <w:lang w:val="en-US" w:eastAsia="zh-CN"/>
        </w:rPr>
        <w:t>5.1安全检查</w:t>
      </w:r>
    </w:p>
    <w:p w14:paraId="18BE74CE">
      <w:pPr>
        <w:keepNext w:val="0"/>
        <w:keepLines w:val="0"/>
        <w:pageBreakBefore w:val="0"/>
        <w:kinsoku/>
        <w:overflowPunct/>
        <w:topLinePunct w:val="0"/>
        <w:autoSpaceDE/>
        <w:autoSpaceDN/>
        <w:bidi w:val="0"/>
        <w:adjustRightInd/>
        <w:snapToGrid/>
        <w:spacing w:line="240" w:lineRule="auto"/>
        <w:ind w:left="0" w:leftChars="0" w:firstLine="640" w:firstLineChars="200"/>
        <w:jc w:val="left"/>
        <w:textAlignment w:val="auto"/>
        <w:rPr>
          <w:rFonts w:hint="eastAsia" w:ascii="仿宋_GB2312" w:hAnsi="宋体" w:cs="Times New Roman"/>
          <w:b w:val="0"/>
          <w:bCs w:val="0"/>
          <w:color w:val="auto"/>
          <w:sz w:val="32"/>
          <w:szCs w:val="32"/>
          <w:lang w:val="en-US" w:eastAsia="zh-CN"/>
        </w:rPr>
      </w:pPr>
      <w:r>
        <w:rPr>
          <w:rFonts w:hint="eastAsia" w:ascii="仿宋_GB2312" w:hAnsi="宋体" w:cs="Times New Roman"/>
          <w:b w:val="0"/>
          <w:bCs w:val="0"/>
          <w:color w:val="auto"/>
          <w:sz w:val="32"/>
          <w:szCs w:val="32"/>
        </w:rPr>
        <w:t>开放式病房允许患者携带生活用品，且家属探视频繁，这会导致危险物品（如剃须刀片、充电线）动态流入</w:t>
      </w:r>
      <w:r>
        <w:rPr>
          <w:rFonts w:hint="eastAsia" w:ascii="仿宋_GB2312" w:hAnsi="宋体" w:cs="Times New Roman"/>
          <w:b w:val="0"/>
          <w:bCs w:val="0"/>
          <w:color w:val="auto"/>
          <w:sz w:val="32"/>
          <w:szCs w:val="32"/>
          <w:lang w:eastAsia="zh-CN"/>
        </w:rPr>
        <w:t>。</w:t>
      </w:r>
      <w:r>
        <w:rPr>
          <w:rFonts w:hint="eastAsia" w:ascii="仿宋_GB2312" w:hAnsi="宋体" w:cs="Times New Roman"/>
          <w:b w:val="0"/>
          <w:bCs w:val="0"/>
          <w:color w:val="auto"/>
          <w:sz w:val="32"/>
          <w:szCs w:val="32"/>
        </w:rPr>
        <w:t>定期检查床单元和日常用品，是建立动态清零机制，防止患者利用日常物品藏匿药物或实施自伤</w:t>
      </w:r>
      <w:r>
        <w:rPr>
          <w:rFonts w:hint="eastAsia" w:ascii="仿宋_GB2312" w:hAnsi="宋体" w:cs="Times New Roman"/>
          <w:b w:val="0"/>
          <w:bCs w:val="0"/>
          <w:color w:val="auto"/>
          <w:sz w:val="32"/>
          <w:szCs w:val="32"/>
          <w:lang w:eastAsia="zh-CN"/>
        </w:rPr>
        <w:t>。</w:t>
      </w:r>
      <w:r>
        <w:rPr>
          <w:rFonts w:hint="eastAsia" w:ascii="仿宋_GB2312" w:hAnsi="宋体" w:cs="Times New Roman"/>
          <w:b w:val="0"/>
          <w:bCs w:val="0"/>
          <w:color w:val="auto"/>
          <w:sz w:val="32"/>
          <w:szCs w:val="32"/>
        </w:rPr>
        <w:t>检查设施设备是</w:t>
      </w:r>
      <w:r>
        <w:rPr>
          <w:rFonts w:hint="eastAsia" w:ascii="仿宋_GB2312" w:hAnsi="宋体" w:cs="Times New Roman"/>
          <w:b w:val="0"/>
          <w:bCs w:val="0"/>
          <w:color w:val="auto"/>
          <w:sz w:val="32"/>
          <w:szCs w:val="32"/>
          <w:lang w:val="en-US" w:eastAsia="zh-CN"/>
        </w:rPr>
        <w:t>确保设备安全有效运行的要求。</w:t>
      </w:r>
    </w:p>
    <w:tbl>
      <w:tblPr>
        <w:tblStyle w:val="10"/>
        <w:tblpPr w:leftFromText="180" w:rightFromText="180" w:vertAnchor="text" w:horzAnchor="page" w:tblpX="1473" w:tblpY="-8"/>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3C0C77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9174" w:type="dxa"/>
            <w:vAlign w:val="center"/>
          </w:tcPr>
          <w:p w14:paraId="4D5256ED">
            <w:pPr>
              <w:pStyle w:val="2"/>
              <w:jc w:val="center"/>
              <w:rPr>
                <w:rFonts w:hint="eastAsia" w:ascii="仿宋_GB2312" w:hAnsi="宋体" w:eastAsia="仿宋_GB2312"/>
                <w:color w:val="auto"/>
                <w:sz w:val="28"/>
                <w:szCs w:val="28"/>
                <w:vertAlign w:val="baseline"/>
                <w:lang w:val="en-US" w:eastAsia="zh-CN"/>
              </w:rPr>
            </w:pPr>
            <w:r>
              <w:drawing>
                <wp:inline distT="0" distB="0" distL="114300" distR="114300">
                  <wp:extent cx="2520315" cy="2549525"/>
                  <wp:effectExtent l="0" t="0" r="6985" b="3175"/>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18"/>
                          <a:stretch>
                            <a:fillRect/>
                          </a:stretch>
                        </pic:blipFill>
                        <pic:spPr>
                          <a:xfrm>
                            <a:off x="0" y="0"/>
                            <a:ext cx="2520315" cy="2549525"/>
                          </a:xfrm>
                          <a:prstGeom prst="rect">
                            <a:avLst/>
                          </a:prstGeom>
                          <a:noFill/>
                          <a:ln>
                            <a:noFill/>
                          </a:ln>
                        </pic:spPr>
                      </pic:pic>
                    </a:graphicData>
                  </a:graphic>
                </wp:inline>
              </w:drawing>
            </w:r>
          </w:p>
        </w:tc>
      </w:tr>
      <w:tr w14:paraId="322CE3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9174" w:type="dxa"/>
            <w:vAlign w:val="center"/>
          </w:tcPr>
          <w:p w14:paraId="1B462A28">
            <w:pPr>
              <w:pStyle w:val="2"/>
              <w:jc w:val="center"/>
              <w:rPr>
                <w:rFonts w:hint="default"/>
                <w:lang w:val="en-US"/>
              </w:rPr>
            </w:pPr>
            <w:r>
              <w:rPr>
                <w:rFonts w:hint="eastAsia" w:ascii="仿宋_GB2312" w:hAnsi="宋体" w:eastAsia="仿宋_GB2312"/>
                <w:color w:val="auto"/>
                <w:sz w:val="24"/>
                <w:szCs w:val="24"/>
                <w:vertAlign w:val="baseline"/>
                <w:lang w:val="en-US" w:eastAsia="zh-CN"/>
              </w:rPr>
              <w:t>图11 安全检查</w:t>
            </w:r>
          </w:p>
        </w:tc>
      </w:tr>
    </w:tbl>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4A8E53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vAlign w:val="center"/>
          </w:tcPr>
          <w:p w14:paraId="7DA730C1">
            <w:pPr>
              <w:pStyle w:val="2"/>
              <w:jc w:val="center"/>
              <w:rPr>
                <w:rFonts w:hint="default" w:ascii="仿宋_GB2312" w:hAnsi="宋体" w:eastAsia="仿宋_GB2312"/>
                <w:color w:val="auto"/>
                <w:sz w:val="32"/>
                <w:szCs w:val="32"/>
                <w:vertAlign w:val="baseline"/>
                <w:lang w:val="en-US" w:eastAsia="zh-CN"/>
              </w:rPr>
            </w:pPr>
            <w:r>
              <w:drawing>
                <wp:inline distT="0" distB="0" distL="114300" distR="114300">
                  <wp:extent cx="1800225" cy="2951480"/>
                  <wp:effectExtent l="0" t="0" r="317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1800225" cy="2951480"/>
                          </a:xfrm>
                          <a:prstGeom prst="rect">
                            <a:avLst/>
                          </a:prstGeom>
                          <a:noFill/>
                          <a:ln>
                            <a:noFill/>
                          </a:ln>
                        </pic:spPr>
                      </pic:pic>
                    </a:graphicData>
                  </a:graphic>
                </wp:inline>
              </w:drawing>
            </w:r>
          </w:p>
        </w:tc>
      </w:tr>
      <w:tr w14:paraId="49870E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9174" w:type="dxa"/>
            <w:vAlign w:val="center"/>
          </w:tcPr>
          <w:p w14:paraId="5C7C0CAE">
            <w:pPr>
              <w:pStyle w:val="2"/>
              <w:jc w:val="center"/>
              <w:rPr>
                <w:rFonts w:hint="default" w:ascii="仿宋_GB2312" w:hAnsi="宋体" w:eastAsia="仿宋_GB2312"/>
                <w:color w:val="auto"/>
                <w:sz w:val="32"/>
                <w:szCs w:val="32"/>
                <w:vertAlign w:val="baseline"/>
                <w:lang w:val="en-US" w:eastAsia="zh-CN"/>
              </w:rPr>
            </w:pPr>
            <w:r>
              <w:rPr>
                <w:rFonts w:hint="eastAsia" w:ascii="仿宋_GB2312" w:hAnsi="宋体" w:eastAsia="仿宋_GB2312"/>
                <w:color w:val="auto"/>
                <w:sz w:val="24"/>
                <w:szCs w:val="24"/>
                <w:vertAlign w:val="baseline"/>
                <w:lang w:val="en-US" w:eastAsia="zh-CN"/>
              </w:rPr>
              <w:t>图12 个人储物柜</w:t>
            </w:r>
          </w:p>
        </w:tc>
      </w:tr>
    </w:tbl>
    <w:p w14:paraId="540DA60B">
      <w:pPr>
        <w:keepNext w:val="0"/>
        <w:keepLines w:val="0"/>
        <w:pageBreakBefore w:val="0"/>
        <w:kinsoku/>
        <w:overflowPunct/>
        <w:topLinePunct w:val="0"/>
        <w:autoSpaceDE/>
        <w:autoSpaceDN/>
        <w:bidi w:val="0"/>
        <w:adjustRightInd/>
        <w:snapToGrid/>
        <w:spacing w:line="240" w:lineRule="auto"/>
        <w:ind w:left="0" w:leftChars="0" w:firstLine="640" w:firstLineChars="200"/>
        <w:jc w:val="left"/>
        <w:textAlignment w:val="auto"/>
        <w:rPr>
          <w:rFonts w:hint="eastAsia" w:ascii="仿宋_GB2312" w:hAnsi="宋体" w:cs="Times New Roman"/>
          <w:b w:val="0"/>
          <w:bCs w:val="0"/>
          <w:color w:val="auto"/>
          <w:sz w:val="32"/>
          <w:szCs w:val="32"/>
        </w:rPr>
      </w:pPr>
      <w:r>
        <w:rPr>
          <w:rFonts w:hint="eastAsia" w:ascii="仿宋_GB2312" w:hAnsi="宋体" w:cs="Times New Roman"/>
          <w:b w:val="0"/>
          <w:bCs w:val="0"/>
          <w:color w:val="auto"/>
          <w:sz w:val="32"/>
          <w:szCs w:val="32"/>
        </w:rPr>
        <w:t>物品管理（外卖、快递流程化）是开放环境带来的特有挑战。外卖和快递是外部不可控物品流入的主要渠道，可能夹带刀具、酒精（消毒或饮用）、打火机等违禁品。建立管理制度，是为了阻断这条外部风险通道，明确谁接收、谁检查、谁转交，避免出现管理盲区。</w:t>
      </w:r>
    </w:p>
    <w:p w14:paraId="736B14AE">
      <w:pPr>
        <w:keepNext w:val="0"/>
        <w:keepLines w:val="0"/>
        <w:pageBreakBefore w:val="0"/>
        <w:kinsoku/>
        <w:overflowPunct/>
        <w:topLinePunct w:val="0"/>
        <w:autoSpaceDE/>
        <w:autoSpaceDN/>
        <w:bidi w:val="0"/>
        <w:adjustRightInd/>
        <w:snapToGrid/>
        <w:spacing w:line="240" w:lineRule="auto"/>
        <w:ind w:left="0" w:leftChars="0" w:firstLine="640" w:firstLineChars="200"/>
        <w:jc w:val="left"/>
        <w:textAlignment w:val="auto"/>
        <w:rPr>
          <w:rFonts w:hint="default" w:ascii="仿宋_GB2312" w:hAnsi="宋体" w:eastAsia="仿宋_GB2312" w:cs="Times New Roman"/>
          <w:b w:val="0"/>
          <w:bCs w:val="0"/>
          <w:color w:val="auto"/>
          <w:sz w:val="32"/>
          <w:szCs w:val="32"/>
          <w:lang w:val="en-US" w:eastAsia="zh-CN"/>
        </w:rPr>
      </w:pPr>
      <w:r>
        <w:rPr>
          <w:rFonts w:hint="eastAsia" w:ascii="仿宋_GB2312" w:hAnsi="宋体" w:cs="Times New Roman"/>
          <w:b w:val="0"/>
          <w:bCs w:val="0"/>
          <w:color w:val="auto"/>
          <w:sz w:val="32"/>
          <w:szCs w:val="32"/>
          <w:lang w:val="en-US" w:eastAsia="zh-CN"/>
        </w:rPr>
        <w:t>5.2物品管理</w:t>
      </w:r>
    </w:p>
    <w:p w14:paraId="089F0A55">
      <w:pPr>
        <w:keepNext w:val="0"/>
        <w:keepLines w:val="0"/>
        <w:pageBreakBefore w:val="0"/>
        <w:kinsoku/>
        <w:overflowPunct/>
        <w:topLinePunct w:val="0"/>
        <w:autoSpaceDE/>
        <w:autoSpaceDN/>
        <w:bidi w:val="0"/>
        <w:adjustRightInd/>
        <w:snapToGrid/>
        <w:spacing w:line="240" w:lineRule="auto"/>
        <w:ind w:left="0" w:leftChars="0" w:firstLine="640" w:firstLineChars="200"/>
        <w:jc w:val="left"/>
        <w:textAlignment w:val="auto"/>
        <w:rPr>
          <w:rFonts w:hint="eastAsia" w:ascii="仿宋_GB2312" w:hAnsi="宋体" w:cs="Times New Roman"/>
          <w:b w:val="0"/>
          <w:bCs w:val="0"/>
          <w:color w:val="auto"/>
          <w:sz w:val="32"/>
          <w:szCs w:val="32"/>
        </w:rPr>
      </w:pPr>
      <w:r>
        <w:rPr>
          <w:rFonts w:hint="eastAsia" w:ascii="仿宋_GB2312" w:hAnsi="宋体" w:cs="Times New Roman"/>
          <w:b w:val="0"/>
          <w:bCs w:val="0"/>
          <w:color w:val="auto"/>
          <w:sz w:val="32"/>
          <w:szCs w:val="32"/>
        </w:rPr>
        <w:t>患者可能因药物影响记忆力差，导致食物腐烂滋生虫鼠，或遗忘贵重物品引发纠纷。定期清洁消毒是院感控制，盘点则是防止物品在公共区域丢失引发患者情绪激动或投诉。</w:t>
      </w: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87"/>
        <w:gridCol w:w="4587"/>
      </w:tblGrid>
      <w:tr w14:paraId="3334FE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3F4E9BED">
            <w:pPr>
              <w:pStyle w:val="2"/>
              <w:jc w:val="center"/>
              <w:rPr>
                <w:rFonts w:hint="default" w:ascii="仿宋_GB2312" w:hAnsi="宋体" w:eastAsia="仿宋_GB2312"/>
                <w:color w:val="auto"/>
                <w:sz w:val="32"/>
                <w:szCs w:val="32"/>
                <w:vertAlign w:val="baseline"/>
                <w:lang w:val="en-US" w:eastAsia="zh-CN"/>
              </w:rPr>
            </w:pPr>
            <w:r>
              <w:drawing>
                <wp:inline distT="0" distB="0" distL="114300" distR="114300">
                  <wp:extent cx="2520315" cy="2218055"/>
                  <wp:effectExtent l="0" t="0" r="6985" b="4445"/>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20"/>
                          <a:stretch>
                            <a:fillRect/>
                          </a:stretch>
                        </pic:blipFill>
                        <pic:spPr>
                          <a:xfrm>
                            <a:off x="0" y="0"/>
                            <a:ext cx="2520315" cy="2218055"/>
                          </a:xfrm>
                          <a:prstGeom prst="rect">
                            <a:avLst/>
                          </a:prstGeom>
                          <a:noFill/>
                          <a:ln>
                            <a:noFill/>
                          </a:ln>
                        </pic:spPr>
                      </pic:pic>
                    </a:graphicData>
                  </a:graphic>
                </wp:inline>
              </w:drawing>
            </w:r>
          </w:p>
        </w:tc>
        <w:tc>
          <w:tcPr>
            <w:tcW w:w="4587" w:type="dxa"/>
            <w:vAlign w:val="center"/>
          </w:tcPr>
          <w:p w14:paraId="2F825ECB">
            <w:pPr>
              <w:pStyle w:val="2"/>
              <w:jc w:val="center"/>
            </w:pPr>
            <w:r>
              <w:drawing>
                <wp:inline distT="0" distB="0" distL="114300" distR="114300">
                  <wp:extent cx="2325370" cy="2217420"/>
                  <wp:effectExtent l="0" t="0" r="11430" b="508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21"/>
                          <a:stretch>
                            <a:fillRect/>
                          </a:stretch>
                        </pic:blipFill>
                        <pic:spPr>
                          <a:xfrm>
                            <a:off x="0" y="0"/>
                            <a:ext cx="2325370" cy="2217420"/>
                          </a:xfrm>
                          <a:prstGeom prst="rect">
                            <a:avLst/>
                          </a:prstGeom>
                          <a:noFill/>
                          <a:ln>
                            <a:noFill/>
                          </a:ln>
                        </pic:spPr>
                      </pic:pic>
                    </a:graphicData>
                  </a:graphic>
                </wp:inline>
              </w:drawing>
            </w:r>
          </w:p>
        </w:tc>
      </w:tr>
      <w:tr w14:paraId="4F674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9174" w:type="dxa"/>
            <w:gridSpan w:val="2"/>
            <w:vAlign w:val="center"/>
          </w:tcPr>
          <w:p w14:paraId="65FD4AB6">
            <w:pPr>
              <w:pStyle w:val="2"/>
              <w:jc w:val="center"/>
              <w:rPr>
                <w:rFonts w:hint="default" w:ascii="仿宋_GB2312" w:hAnsi="宋体" w:eastAsia="仿宋_GB2312"/>
                <w:color w:val="auto"/>
                <w:sz w:val="28"/>
                <w:szCs w:val="28"/>
                <w:vertAlign w:val="baseline"/>
                <w:lang w:val="en-US" w:eastAsia="zh-CN"/>
              </w:rPr>
            </w:pPr>
            <w:r>
              <w:rPr>
                <w:rFonts w:hint="eastAsia" w:ascii="仿宋_GB2312" w:hAnsi="宋体" w:eastAsia="仿宋_GB2312"/>
                <w:color w:val="auto"/>
                <w:sz w:val="24"/>
                <w:szCs w:val="24"/>
                <w:vertAlign w:val="baseline"/>
                <w:lang w:val="en-US" w:eastAsia="zh-CN"/>
              </w:rPr>
              <w:t>图13 物品安全提示</w:t>
            </w:r>
          </w:p>
        </w:tc>
      </w:tr>
    </w:tbl>
    <w:p w14:paraId="242963F3">
      <w:pPr>
        <w:keepNext w:val="0"/>
        <w:keepLines w:val="0"/>
        <w:pageBreakBefore w:val="0"/>
        <w:kinsoku/>
        <w:overflowPunct/>
        <w:topLinePunct w:val="0"/>
        <w:autoSpaceDE/>
        <w:autoSpaceDN/>
        <w:bidi w:val="0"/>
        <w:adjustRightInd/>
        <w:snapToGrid/>
        <w:spacing w:line="240" w:lineRule="auto"/>
        <w:ind w:left="0" w:leftChars="0" w:firstLine="640" w:firstLineChars="200"/>
        <w:jc w:val="left"/>
        <w:textAlignment w:val="auto"/>
        <w:rPr>
          <w:rFonts w:hint="eastAsia" w:ascii="仿宋_GB2312" w:hAnsi="宋体" w:cs="Times New Roman"/>
          <w:b w:val="0"/>
          <w:bCs w:val="0"/>
          <w:color w:val="auto"/>
          <w:sz w:val="32"/>
          <w:szCs w:val="32"/>
        </w:rPr>
      </w:pPr>
      <w:r>
        <w:rPr>
          <w:rFonts w:hint="eastAsia" w:ascii="仿宋_GB2312" w:hAnsi="宋体" w:cs="Times New Roman"/>
          <w:b w:val="0"/>
          <w:bCs w:val="0"/>
          <w:color w:val="auto"/>
          <w:sz w:val="32"/>
          <w:szCs w:val="32"/>
          <w:lang w:val="en-US" w:eastAsia="zh-CN"/>
        </w:rPr>
        <w:t>5.3</w:t>
      </w:r>
      <w:r>
        <w:rPr>
          <w:rFonts w:hint="eastAsia" w:ascii="仿宋_GB2312" w:hAnsi="宋体" w:cs="Times New Roman"/>
          <w:b w:val="0"/>
          <w:bCs w:val="0"/>
          <w:color w:val="auto"/>
          <w:sz w:val="32"/>
          <w:szCs w:val="32"/>
        </w:rPr>
        <w:t>感染防控</w:t>
      </w:r>
    </w:p>
    <w:p w14:paraId="110BDF1F">
      <w:pPr>
        <w:keepNext w:val="0"/>
        <w:keepLines w:val="0"/>
        <w:pageBreakBefore w:val="0"/>
        <w:kinsoku/>
        <w:overflowPunct/>
        <w:topLinePunct w:val="0"/>
        <w:autoSpaceDE/>
        <w:autoSpaceDN/>
        <w:bidi w:val="0"/>
        <w:adjustRightInd/>
        <w:snapToGrid/>
        <w:spacing w:line="240" w:lineRule="auto"/>
        <w:ind w:left="0" w:leftChars="0" w:firstLine="640" w:firstLineChars="200"/>
        <w:jc w:val="left"/>
        <w:textAlignment w:val="auto"/>
        <w:rPr>
          <w:rFonts w:hint="eastAsia" w:ascii="仿宋_GB2312" w:hAnsi="宋体" w:cs="Times New Roman"/>
          <w:b w:val="0"/>
          <w:bCs w:val="0"/>
          <w:color w:val="auto"/>
          <w:sz w:val="32"/>
          <w:szCs w:val="32"/>
        </w:rPr>
      </w:pPr>
      <w:r>
        <w:rPr>
          <w:rFonts w:hint="eastAsia" w:ascii="仿宋_GB2312" w:hAnsi="宋体" w:cs="Times New Roman"/>
          <w:b w:val="0"/>
          <w:bCs w:val="0"/>
          <w:color w:val="auto"/>
          <w:sz w:val="32"/>
          <w:szCs w:val="32"/>
        </w:rPr>
        <w:t>精神科病房人员密集、患者个人卫生习惯可能较差，且部分患者抵抗力弱。直接引用国家</w:t>
      </w:r>
      <w:r>
        <w:rPr>
          <w:rFonts w:hint="eastAsia" w:ascii="仿宋_GB2312" w:hAnsi="宋体" w:cs="Times New Roman"/>
          <w:b w:val="0"/>
          <w:bCs w:val="0"/>
          <w:color w:val="auto"/>
          <w:sz w:val="32"/>
          <w:szCs w:val="32"/>
          <w:lang w:val="en-US" w:eastAsia="zh-CN"/>
        </w:rPr>
        <w:t>相关</w:t>
      </w:r>
      <w:r>
        <w:rPr>
          <w:rFonts w:hint="eastAsia" w:ascii="仿宋_GB2312" w:hAnsi="宋体" w:cs="Times New Roman"/>
          <w:b w:val="0"/>
          <w:bCs w:val="0"/>
          <w:color w:val="auto"/>
          <w:sz w:val="32"/>
          <w:szCs w:val="32"/>
        </w:rPr>
        <w:t>卫生行业标准，重点在于落实手卫生、消毒灭菌和医疗废物处理，防止群体性感染暴发。</w:t>
      </w:r>
    </w:p>
    <w:p w14:paraId="63535D8C">
      <w:pPr>
        <w:keepNext w:val="0"/>
        <w:keepLines w:val="0"/>
        <w:pageBreakBefore w:val="0"/>
        <w:kinsoku/>
        <w:overflowPunct/>
        <w:topLinePunct w:val="0"/>
        <w:autoSpaceDE/>
        <w:autoSpaceDN/>
        <w:bidi w:val="0"/>
        <w:adjustRightInd/>
        <w:snapToGrid/>
        <w:spacing w:line="240" w:lineRule="auto"/>
        <w:ind w:left="0" w:leftChars="0" w:firstLine="640" w:firstLineChars="200"/>
        <w:jc w:val="left"/>
        <w:textAlignment w:val="auto"/>
        <w:rPr>
          <w:rFonts w:hint="default" w:ascii="仿宋_GB2312" w:hAnsi="宋体" w:cs="Times New Roman"/>
          <w:b w:val="0"/>
          <w:bCs w:val="0"/>
          <w:color w:val="auto"/>
          <w:sz w:val="32"/>
          <w:szCs w:val="32"/>
          <w:lang w:val="en-US"/>
        </w:rPr>
      </w:pPr>
      <w:r>
        <w:rPr>
          <w:rFonts w:hint="eastAsia" w:ascii="仿宋_GB2312" w:hAnsi="宋体" w:cs="Times New Roman"/>
          <w:b w:val="0"/>
          <w:bCs w:val="0"/>
          <w:color w:val="auto"/>
          <w:sz w:val="32"/>
          <w:szCs w:val="32"/>
          <w:lang w:val="en-US" w:eastAsia="zh-CN"/>
        </w:rPr>
        <w:t>5.4应急管理</w:t>
      </w:r>
    </w:p>
    <w:p w14:paraId="77FDF28A">
      <w:pPr>
        <w:keepNext w:val="0"/>
        <w:keepLines w:val="0"/>
        <w:pageBreakBefore w:val="0"/>
        <w:kinsoku/>
        <w:overflowPunct/>
        <w:topLinePunct w:val="0"/>
        <w:autoSpaceDE/>
        <w:autoSpaceDN/>
        <w:bidi w:val="0"/>
        <w:adjustRightInd/>
        <w:snapToGrid/>
        <w:spacing w:line="240" w:lineRule="auto"/>
        <w:ind w:left="0" w:leftChars="0" w:firstLine="640" w:firstLineChars="200"/>
        <w:jc w:val="left"/>
        <w:textAlignment w:val="auto"/>
        <w:rPr>
          <w:rFonts w:ascii="仿宋_GB2312" w:hAnsi="宋体" w:cs="Times New Roman"/>
          <w:b w:val="0"/>
          <w:bCs w:val="0"/>
          <w:color w:val="auto"/>
          <w:sz w:val="32"/>
          <w:szCs w:val="32"/>
        </w:rPr>
      </w:pPr>
      <w:r>
        <w:rPr>
          <w:rFonts w:hint="eastAsia" w:ascii="仿宋_GB2312" w:hAnsi="宋体" w:cs="Times New Roman"/>
          <w:b w:val="0"/>
          <w:bCs w:val="0"/>
          <w:color w:val="auto"/>
          <w:sz w:val="32"/>
          <w:szCs w:val="32"/>
        </w:rPr>
        <w:t>精神科药物（如抗精神病药）可能引发恶性综合征或心脏骤停，猝死风险高于普通科室；而</w:t>
      </w:r>
      <w:r>
        <w:rPr>
          <w:rFonts w:hint="eastAsia" w:ascii="仿宋_GB2312" w:hAnsi="宋体" w:cs="Times New Roman"/>
          <w:b w:val="0"/>
          <w:bCs w:val="0"/>
          <w:color w:val="auto"/>
          <w:sz w:val="32"/>
          <w:szCs w:val="32"/>
          <w:lang w:val="en-US" w:eastAsia="zh-CN"/>
        </w:rPr>
        <w:t>患者</w:t>
      </w:r>
      <w:r>
        <w:rPr>
          <w:rFonts w:hint="eastAsia" w:ascii="仿宋_GB2312" w:hAnsi="宋体" w:cs="Times New Roman"/>
          <w:b w:val="0"/>
          <w:bCs w:val="0"/>
          <w:color w:val="auto"/>
          <w:sz w:val="32"/>
          <w:szCs w:val="32"/>
        </w:rPr>
        <w:t>外出途中存在突发心梗或情绪崩溃的风险</w:t>
      </w:r>
      <w:r>
        <w:rPr>
          <w:rFonts w:hint="eastAsia" w:ascii="仿宋_GB2312" w:hAnsi="宋体" w:cs="Times New Roman"/>
          <w:b w:val="0"/>
          <w:bCs w:val="0"/>
          <w:color w:val="auto"/>
          <w:sz w:val="32"/>
          <w:szCs w:val="32"/>
          <w:lang w:eastAsia="zh-CN"/>
        </w:rPr>
        <w:t>，</w:t>
      </w:r>
      <w:r>
        <w:rPr>
          <w:rFonts w:hint="eastAsia" w:ascii="仿宋_GB2312" w:hAnsi="宋体" w:cs="Times New Roman"/>
          <w:b w:val="0"/>
          <w:bCs w:val="0"/>
          <w:color w:val="auto"/>
          <w:sz w:val="32"/>
          <w:szCs w:val="32"/>
        </w:rPr>
        <w:t>预案必须覆盖这些特定场景。突发危机（如暴力攻击）时，现场混乱</w:t>
      </w:r>
      <w:r>
        <w:rPr>
          <w:rFonts w:hint="eastAsia" w:ascii="仿宋_GB2312" w:hAnsi="宋体" w:cs="Times New Roman"/>
          <w:b w:val="0"/>
          <w:bCs w:val="0"/>
          <w:color w:val="auto"/>
          <w:sz w:val="32"/>
          <w:szCs w:val="32"/>
          <w:lang w:eastAsia="zh-CN"/>
        </w:rPr>
        <w:t>，</w:t>
      </w:r>
      <w:r>
        <w:rPr>
          <w:rFonts w:hint="eastAsia" w:ascii="仿宋_GB2312" w:hAnsi="宋体" w:cs="Times New Roman"/>
          <w:b w:val="0"/>
          <w:bCs w:val="0"/>
          <w:color w:val="auto"/>
          <w:sz w:val="32"/>
          <w:szCs w:val="32"/>
        </w:rPr>
        <w:t>提前明确</w:t>
      </w:r>
      <w:r>
        <w:rPr>
          <w:rFonts w:hint="eastAsia" w:ascii="仿宋_GB2312" w:hAnsi="宋体" w:cs="Times New Roman"/>
          <w:b w:val="0"/>
          <w:bCs w:val="0"/>
          <w:color w:val="auto"/>
          <w:sz w:val="32"/>
          <w:szCs w:val="32"/>
          <w:lang w:val="en-US" w:eastAsia="zh-CN"/>
        </w:rPr>
        <w:t>应急处理措施</w:t>
      </w:r>
      <w:r>
        <w:rPr>
          <w:rFonts w:hint="eastAsia" w:ascii="仿宋_GB2312" w:hAnsi="宋体" w:cs="Times New Roman"/>
          <w:b w:val="0"/>
          <w:bCs w:val="0"/>
          <w:color w:val="auto"/>
          <w:sz w:val="32"/>
          <w:szCs w:val="32"/>
        </w:rPr>
        <w:t>，</w:t>
      </w:r>
      <w:r>
        <w:rPr>
          <w:rFonts w:hint="eastAsia" w:ascii="仿宋_GB2312" w:hAnsi="宋体" w:cs="Times New Roman"/>
          <w:b w:val="0"/>
          <w:bCs w:val="0"/>
          <w:color w:val="auto"/>
          <w:sz w:val="32"/>
          <w:szCs w:val="32"/>
          <w:lang w:val="en-US" w:eastAsia="zh-CN"/>
        </w:rPr>
        <w:t>保障有效处理突发事件</w:t>
      </w:r>
      <w:r>
        <w:rPr>
          <w:rFonts w:hint="eastAsia" w:ascii="仿宋_GB2312" w:hAnsi="宋体" w:cs="Times New Roman"/>
          <w:b w:val="0"/>
          <w:bCs w:val="0"/>
          <w:color w:val="auto"/>
          <w:sz w:val="32"/>
          <w:szCs w:val="32"/>
        </w:rPr>
        <w:t>。定期演练与案例警示教育能</w:t>
      </w:r>
      <w:r>
        <w:rPr>
          <w:rFonts w:hint="eastAsia" w:ascii="仿宋_GB2312" w:hAnsi="宋体" w:cs="Times New Roman"/>
          <w:b w:val="0"/>
          <w:bCs w:val="0"/>
          <w:color w:val="auto"/>
          <w:sz w:val="32"/>
          <w:szCs w:val="32"/>
          <w:lang w:val="en-US" w:eastAsia="zh-CN"/>
        </w:rPr>
        <w:t>加深工作人员处理应急事件的</w:t>
      </w:r>
      <w:r>
        <w:rPr>
          <w:rFonts w:hint="eastAsia" w:ascii="仿宋_GB2312" w:hAnsi="宋体" w:cs="Times New Roman"/>
          <w:b w:val="0"/>
          <w:bCs w:val="0"/>
          <w:color w:val="auto"/>
          <w:sz w:val="32"/>
          <w:szCs w:val="32"/>
        </w:rPr>
        <w:t>记忆</w:t>
      </w:r>
      <w:r>
        <w:rPr>
          <w:rFonts w:hint="eastAsia" w:ascii="仿宋_GB2312" w:hAnsi="宋体" w:cs="Times New Roman"/>
          <w:b w:val="0"/>
          <w:bCs w:val="0"/>
          <w:color w:val="auto"/>
          <w:sz w:val="32"/>
          <w:szCs w:val="32"/>
          <w:lang w:eastAsia="zh-CN"/>
        </w:rPr>
        <w:t>，</w:t>
      </w:r>
      <w:r>
        <w:rPr>
          <w:rFonts w:hint="eastAsia" w:ascii="仿宋_GB2312" w:hAnsi="宋体" w:cs="Times New Roman"/>
          <w:b w:val="0"/>
          <w:bCs w:val="0"/>
          <w:color w:val="auto"/>
          <w:sz w:val="32"/>
          <w:szCs w:val="32"/>
        </w:rPr>
        <w:t>将每一次危机事件转化为全员学习的机会，避免同类事件重演。</w:t>
      </w:r>
    </w:p>
    <w:p w14:paraId="57D258AB">
      <w:pPr>
        <w:keepNext w:val="0"/>
        <w:keepLines w:val="0"/>
        <w:pageBreakBefore w:val="0"/>
        <w:kinsoku/>
        <w:overflowPunct/>
        <w:topLinePunct w:val="0"/>
        <w:bidi w:val="0"/>
        <w:snapToGrid/>
        <w:ind w:left="0" w:firstLine="643" w:firstLineChars="200"/>
        <w:textAlignment w:val="auto"/>
        <w:rPr>
          <w:rFonts w:hint="default"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六</w:t>
      </w: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质</w:t>
      </w:r>
      <w:r>
        <w:rPr>
          <w:rFonts w:hint="eastAsia" w:ascii="仿宋_GB2312" w:hAnsi="宋体"/>
          <w:color w:val="auto"/>
          <w:sz w:val="32"/>
          <w:szCs w:val="32"/>
          <w:lang w:val="en-US" w:eastAsia="zh-CN"/>
        </w:rPr>
        <w:t>量评价与改进</w:t>
      </w:r>
    </w:p>
    <w:p w14:paraId="3A690373">
      <w:pPr>
        <w:keepNext w:val="0"/>
        <w:keepLines w:val="0"/>
        <w:pageBreakBefore w:val="0"/>
        <w:kinsoku/>
        <w:overflowPunct/>
        <w:topLinePunct w:val="0"/>
        <w:autoSpaceDE/>
        <w:autoSpaceDN/>
        <w:bidi w:val="0"/>
        <w:adjustRightInd/>
        <w:snapToGrid/>
        <w:spacing w:line="240" w:lineRule="auto"/>
        <w:ind w:left="0" w:leftChars="0" w:firstLine="640" w:firstLineChars="200"/>
        <w:jc w:val="left"/>
        <w:textAlignment w:val="auto"/>
        <w:rPr>
          <w:rFonts w:ascii="仿宋_GB2312" w:hAnsi="宋体" w:cs="Times New Roman"/>
          <w:b w:val="0"/>
          <w:bCs w:val="0"/>
          <w:color w:val="auto"/>
          <w:sz w:val="32"/>
          <w:szCs w:val="32"/>
        </w:rPr>
      </w:pPr>
      <w:r>
        <w:rPr>
          <w:rFonts w:hint="eastAsia" w:ascii="仿宋_GB2312" w:hAnsi="宋体" w:cs="Times New Roman"/>
          <w:b w:val="0"/>
          <w:bCs w:val="0"/>
          <w:color w:val="auto"/>
          <w:sz w:val="32"/>
          <w:szCs w:val="32"/>
        </w:rPr>
        <w:t>开放式病房强调患者的自主性和社会功能回归，患者的主观体验本身就是疗效的一部分。精神科患者极度敏感，医患沟通是否生硬、是否尊重隐私，直接影响患者的治疗依从性和安全感。家属是24小时陪护的参与者，他们对安全管理的评价（如外出制度是否合理）比医护人员更贴近日常，能为优化流程提供不同视角。建立质量评价与改进档案</w:t>
      </w:r>
      <w:r>
        <w:rPr>
          <w:rFonts w:hint="eastAsia" w:ascii="仿宋_GB2312" w:hAnsi="宋体" w:cs="Times New Roman"/>
          <w:b w:val="0"/>
          <w:bCs w:val="0"/>
          <w:color w:val="auto"/>
          <w:sz w:val="32"/>
          <w:szCs w:val="32"/>
          <w:lang w:eastAsia="zh-CN"/>
        </w:rPr>
        <w:t>，</w:t>
      </w:r>
      <w:r>
        <w:rPr>
          <w:rFonts w:hint="eastAsia" w:ascii="仿宋_GB2312" w:hAnsi="宋体" w:cs="Times New Roman"/>
          <w:b w:val="0"/>
          <w:bCs w:val="0"/>
          <w:color w:val="auto"/>
          <w:sz w:val="32"/>
          <w:szCs w:val="32"/>
        </w:rPr>
        <w:t>在发生医疗纠纷或检查时，详细的档案记录是</w:t>
      </w:r>
      <w:r>
        <w:rPr>
          <w:rFonts w:hint="eastAsia" w:ascii="仿宋_GB2312" w:hAnsi="宋体" w:cs="Times New Roman"/>
          <w:b w:val="0"/>
          <w:bCs w:val="0"/>
          <w:color w:val="auto"/>
          <w:sz w:val="32"/>
          <w:szCs w:val="32"/>
          <w:lang w:val="en-US" w:eastAsia="zh-CN"/>
        </w:rPr>
        <w:t>重要</w:t>
      </w:r>
      <w:r>
        <w:rPr>
          <w:rFonts w:hint="eastAsia" w:ascii="仿宋_GB2312" w:hAnsi="宋体" w:cs="Times New Roman"/>
          <w:b w:val="0"/>
          <w:bCs w:val="0"/>
          <w:color w:val="auto"/>
          <w:sz w:val="32"/>
          <w:szCs w:val="32"/>
        </w:rPr>
        <w:t>依据</w:t>
      </w:r>
      <w:r>
        <w:rPr>
          <w:rFonts w:hint="eastAsia" w:ascii="仿宋_GB2312" w:hAnsi="宋体" w:cs="Times New Roman"/>
          <w:b w:val="0"/>
          <w:bCs w:val="0"/>
          <w:color w:val="auto"/>
          <w:sz w:val="32"/>
          <w:szCs w:val="32"/>
          <w:lang w:eastAsia="zh-CN"/>
        </w:rPr>
        <w:t>，</w:t>
      </w:r>
      <w:r>
        <w:rPr>
          <w:rFonts w:hint="eastAsia" w:ascii="仿宋_GB2312" w:hAnsi="宋体" w:cs="Times New Roman"/>
          <w:b w:val="0"/>
          <w:bCs w:val="0"/>
          <w:color w:val="auto"/>
          <w:sz w:val="32"/>
          <w:szCs w:val="32"/>
        </w:rPr>
        <w:t>是有常态化的自我纠偏机制，体现了管理的专业性和严谨性。</w:t>
      </w:r>
    </w:p>
    <w:p w14:paraId="412D30F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bookmarkStart w:id="2" w:name="_Toc526940086"/>
      <w:r>
        <w:rPr>
          <w:rFonts w:hint="eastAsia" w:ascii="黑体" w:hAnsi="黑体" w:eastAsia="黑体" w:cs="仿宋_GB2312"/>
          <w:color w:val="auto"/>
          <w:sz w:val="32"/>
          <w:szCs w:val="32"/>
        </w:rPr>
        <w:t>六、</w:t>
      </w:r>
      <w:bookmarkEnd w:id="2"/>
      <w:r>
        <w:rPr>
          <w:rFonts w:hint="eastAsia" w:ascii="黑体" w:hAnsi="黑体" w:eastAsia="黑体" w:cs="仿宋_GB2312"/>
          <w:color w:val="auto"/>
          <w:sz w:val="32"/>
          <w:szCs w:val="32"/>
        </w:rPr>
        <w:t>重大分歧意见的处理经过和依据</w:t>
      </w:r>
    </w:p>
    <w:p w14:paraId="7DBD7D8D">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本标准研制过程中无重大分歧意见。</w:t>
      </w:r>
    </w:p>
    <w:p w14:paraId="69867F09">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七</w:t>
      </w:r>
      <w:r>
        <w:rPr>
          <w:rFonts w:ascii="黑体" w:hAnsi="黑体" w:eastAsia="黑体" w:cs="仿宋_GB2312"/>
          <w:color w:val="auto"/>
          <w:sz w:val="32"/>
          <w:szCs w:val="32"/>
        </w:rPr>
        <w:t>、</w:t>
      </w:r>
      <w:r>
        <w:rPr>
          <w:rFonts w:hint="eastAsia" w:ascii="黑体" w:hAnsi="黑体" w:eastAsia="黑体" w:cs="仿宋_GB2312"/>
          <w:color w:val="auto"/>
          <w:sz w:val="32"/>
          <w:szCs w:val="32"/>
        </w:rPr>
        <w:t>实施标准的措施</w:t>
      </w:r>
    </w:p>
    <w:p w14:paraId="67C45D00">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（一）标准报批发布后，成立标准宣贯工作组</w:t>
      </w:r>
    </w:p>
    <w:p w14:paraId="7330B5F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（二）组织开展标准宣贯培训</w:t>
      </w:r>
    </w:p>
    <w:p w14:paraId="38C99CE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9942561">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（三）开展标准实施交流会，收集标准实施反馈信息</w:t>
      </w:r>
    </w:p>
    <w:p w14:paraId="336AB236">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1F438F65">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（四）开展标准实施效果评估</w:t>
      </w:r>
    </w:p>
    <w:p w14:paraId="7DE0DDFE">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八、其他应当说明的事项</w:t>
      </w:r>
    </w:p>
    <w:p w14:paraId="23A53EB2">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无。</w:t>
      </w:r>
    </w:p>
    <w:p w14:paraId="1562F1AF">
      <w:pPr>
        <w:keepNext w:val="0"/>
        <w:keepLines w:val="0"/>
        <w:pageBreakBefore w:val="0"/>
        <w:kinsoku/>
        <w:overflowPunct/>
        <w:topLinePunct w:val="0"/>
        <w:bidi w:val="0"/>
        <w:snapToGrid/>
        <w:spacing w:line="560" w:lineRule="exact"/>
        <w:ind w:left="0"/>
        <w:textAlignment w:val="auto"/>
        <w:rPr>
          <w:rFonts w:ascii="仿宋_GB2312" w:hAnsi="仿宋" w:eastAsia="仿宋_GB2312"/>
          <w:bCs/>
          <w:color w:val="auto"/>
          <w:sz w:val="36"/>
          <w:szCs w:val="32"/>
        </w:rPr>
      </w:pPr>
    </w:p>
    <w:p w14:paraId="0FDE70D6">
      <w:pPr>
        <w:keepNext w:val="0"/>
        <w:keepLines w:val="0"/>
        <w:pageBreakBefore w:val="0"/>
        <w:kinsoku/>
        <w:overflowPunct/>
        <w:topLinePunct w:val="0"/>
        <w:bidi w:val="0"/>
        <w:snapToGrid/>
        <w:spacing w:line="560" w:lineRule="exact"/>
        <w:ind w:left="0"/>
        <w:textAlignment w:val="auto"/>
        <w:rPr>
          <w:rFonts w:ascii="仿宋_GB2312" w:hAnsi="仿宋" w:eastAsia="仿宋_GB2312"/>
          <w:bCs/>
          <w:color w:val="auto"/>
          <w:sz w:val="36"/>
          <w:szCs w:val="32"/>
        </w:rPr>
      </w:pPr>
    </w:p>
    <w:p w14:paraId="639B864D">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团体标准《精神专科医院开放式病房管理规范》</w:t>
      </w:r>
    </w:p>
    <w:p w14:paraId="607C1987">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 xml:space="preserve">标准编制工作组 </w:t>
      </w:r>
      <w:r>
        <w:rPr>
          <w:rFonts w:ascii="仿宋_GB2312" w:hAnsi="宋体" w:eastAsia="仿宋_GB2312"/>
          <w:color w:val="auto"/>
          <w:sz w:val="32"/>
          <w:szCs w:val="28"/>
        </w:rPr>
        <w:t xml:space="preserve">        </w:t>
      </w:r>
    </w:p>
    <w:p w14:paraId="539467F6">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6</w:t>
      </w:r>
      <w:r>
        <w:rPr>
          <w:rFonts w:hint="eastAsia" w:ascii="仿宋_GB2312" w:hAnsi="宋体" w:eastAsia="仿宋_GB2312"/>
          <w:color w:val="auto"/>
          <w:sz w:val="32"/>
          <w:szCs w:val="28"/>
        </w:rPr>
        <w:t>月</w:t>
      </w:r>
      <w:bookmarkStart w:id="3" w:name="_GoBack"/>
      <w:r>
        <w:rPr>
          <w:rFonts w:hint="eastAsia" w:ascii="仿宋_GB2312" w:hAnsi="宋体"/>
          <w:color w:val="auto"/>
          <w:sz w:val="32"/>
          <w:szCs w:val="28"/>
          <w:lang w:val="en-US" w:eastAsia="zh-CN"/>
        </w:rPr>
        <w:t>23</w:t>
      </w:r>
      <w:bookmarkEnd w:id="3"/>
      <w:r>
        <w:rPr>
          <w:rFonts w:hint="eastAsia" w:ascii="仿宋_GB2312" w:hAnsi="宋体" w:eastAsia="仿宋_GB2312"/>
          <w:color w:val="auto"/>
          <w:sz w:val="32"/>
          <w:szCs w:val="28"/>
        </w:rPr>
        <w:t xml:space="preserve">日       </w:t>
      </w:r>
      <w:r>
        <w:rPr>
          <w:rFonts w:ascii="仿宋_GB2312" w:hAnsi="宋体" w:eastAsia="仿宋_GB2312"/>
          <w:color w:val="auto"/>
          <w:sz w:val="32"/>
          <w:szCs w:val="28"/>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0000600000000000000"/>
    <w:charset w:val="86"/>
    <w:family w:val="script"/>
    <w:pitch w:val="default"/>
    <w:sig w:usb0="800002BF" w:usb1="184F6CF8" w:usb2="00000012" w:usb3="00000000" w:csb0="00160001" w:csb1="1203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Segoe UI Emoji">
    <w:panose1 w:val="020B0502040204020203"/>
    <w:charset w:val="00"/>
    <w:family w:val="auto"/>
    <w:pitch w:val="default"/>
    <w:sig w:usb0="00000001" w:usb1="02000000" w:usb2="08000000" w:usb3="00000000" w:csb0="00000001" w:csb1="00000000"/>
  </w:font>
  <w:font w:name="Symbol">
    <w:panose1 w:val="05050102010706020507"/>
    <w:charset w:val="00"/>
    <w:family w:val="auto"/>
    <w:pitch w:val="default"/>
    <w:sig w:usb0="00000000" w:usb1="00000000" w:usb2="00000000" w:usb3="00000000" w:csb0="80000000" w:csb1="00000000"/>
  </w:font>
  <w:font w:name="Courier New">
    <w:panose1 w:val="02070309020205020404"/>
    <w:charset w:val="00"/>
    <w:family w:val="auto"/>
    <w:pitch w:val="default"/>
    <w:sig w:usb0="E0002EFF" w:usb1="C0007843" w:usb2="00000009" w:usb3="00000000" w:csb0="400001FF" w:csb1="FFFF0000"/>
  </w:font>
  <w:font w:name="Wingdings">
    <w:panose1 w:val="05000000000000000000"/>
    <w:charset w:val="00"/>
    <w:family w:val="auto"/>
    <w:pitch w:val="default"/>
    <w:sig w:usb0="00000000" w:usb1="00000000" w:usb2="00000000" w:usb3="00000000" w:csb0="80000000"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6"/>
          <w:jc w:val="center"/>
        </w:pPr>
        <w:r>
          <w:fldChar w:fldCharType="begin"/>
        </w:r>
        <w:r>
          <w:instrText xml:space="preserve">PAGE   \* MERGEFORMAT</w:instrText>
        </w:r>
        <w:r>
          <w:fldChar w:fldCharType="separate"/>
        </w:r>
        <w:r>
          <w:rPr>
            <w:lang w:val="zh-CN"/>
          </w:rPr>
          <w:t>7</w:t>
        </w:r>
        <w:r>
          <w:fldChar w:fldCharType="end"/>
        </w:r>
      </w:p>
    </w:sdtContent>
  </w:sdt>
  <w:p w14:paraId="76F9E80E">
    <w:pPr>
      <w:pStyle w:val="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3"/>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7"/>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6"/>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8"/>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7"/>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9"/>
      <w:suff w:val="nothing"/>
      <w:lvlText w:val="%1.%2.%3　"/>
      <w:lvlJc w:val="left"/>
      <w:pPr>
        <w:ind w:left="0" w:firstLine="0"/>
      </w:pPr>
      <w:rPr>
        <w:rFonts w:hint="eastAsia" w:ascii="黑体" w:hAnsi="Times New Roman" w:eastAsia="黑体"/>
        <w:b w:val="0"/>
        <w:i w:val="0"/>
        <w:sz w:val="21"/>
      </w:rPr>
    </w:lvl>
    <w:lvl w:ilvl="3" w:tentative="0">
      <w:start w:val="1"/>
      <w:numFmt w:val="decimal"/>
      <w:pStyle w:val="20"/>
      <w:suff w:val="nothing"/>
      <w:lvlText w:val="%1.%2.%3.%4　"/>
      <w:lvlJc w:val="left"/>
      <w:pPr>
        <w:ind w:left="0" w:firstLine="0"/>
      </w:pPr>
      <w:rPr>
        <w:rFonts w:hint="eastAsia" w:ascii="黑体" w:hAnsi="Times New Roman" w:eastAsia="黑体"/>
        <w:b w:val="0"/>
        <w:i w:val="0"/>
        <w:sz w:val="21"/>
      </w:rPr>
    </w:lvl>
    <w:lvl w:ilvl="4" w:tentative="0">
      <w:start w:val="1"/>
      <w:numFmt w:val="decimal"/>
      <w:pStyle w:val="21"/>
      <w:suff w:val="nothing"/>
      <w:lvlText w:val="%1.%2.%3.%4.%5　"/>
      <w:lvlJc w:val="left"/>
      <w:pPr>
        <w:ind w:left="0" w:firstLine="0"/>
      </w:pPr>
      <w:rPr>
        <w:rFonts w:hint="eastAsia" w:ascii="黑体" w:hAnsi="Times New Roman" w:eastAsia="黑体"/>
        <w:b w:val="0"/>
        <w:i w:val="0"/>
        <w:sz w:val="21"/>
      </w:rPr>
    </w:lvl>
    <w:lvl w:ilvl="5" w:tentative="0">
      <w:start w:val="1"/>
      <w:numFmt w:val="decimal"/>
      <w:pStyle w:val="22"/>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4"/>
      <w:suff w:val="space"/>
      <w:lvlText w:val="%1"/>
      <w:lvlJc w:val="left"/>
      <w:pPr>
        <w:ind w:left="623" w:hanging="425"/>
      </w:pPr>
      <w:rPr>
        <w:rFonts w:hint="eastAsia"/>
      </w:rPr>
    </w:lvl>
    <w:lvl w:ilvl="1" w:tentative="0">
      <w:start w:val="1"/>
      <w:numFmt w:val="decimal"/>
      <w:pStyle w:val="25"/>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16"/>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1"/>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15"/>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1F7F7E"/>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274"/>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CE5D1C"/>
    <w:rsid w:val="039E595D"/>
    <w:rsid w:val="05987C4B"/>
    <w:rsid w:val="068C3E93"/>
    <w:rsid w:val="070F07F6"/>
    <w:rsid w:val="07B45450"/>
    <w:rsid w:val="07F61AF1"/>
    <w:rsid w:val="08083403"/>
    <w:rsid w:val="09BE5E2A"/>
    <w:rsid w:val="0A091F73"/>
    <w:rsid w:val="0A8504E9"/>
    <w:rsid w:val="0BC47C2C"/>
    <w:rsid w:val="0D92619C"/>
    <w:rsid w:val="0E4C5F96"/>
    <w:rsid w:val="0EB020D5"/>
    <w:rsid w:val="0F412CA9"/>
    <w:rsid w:val="0F501F02"/>
    <w:rsid w:val="0FD566D2"/>
    <w:rsid w:val="107240FA"/>
    <w:rsid w:val="114E2471"/>
    <w:rsid w:val="138419BE"/>
    <w:rsid w:val="13B2170D"/>
    <w:rsid w:val="13B97480"/>
    <w:rsid w:val="14034EB5"/>
    <w:rsid w:val="14870494"/>
    <w:rsid w:val="14E629C1"/>
    <w:rsid w:val="15085E8C"/>
    <w:rsid w:val="15174F60"/>
    <w:rsid w:val="1556095A"/>
    <w:rsid w:val="167015A7"/>
    <w:rsid w:val="167D7F24"/>
    <w:rsid w:val="17306AB5"/>
    <w:rsid w:val="17373F64"/>
    <w:rsid w:val="18047D2E"/>
    <w:rsid w:val="191C10A7"/>
    <w:rsid w:val="195C5947"/>
    <w:rsid w:val="19801636"/>
    <w:rsid w:val="19A054D6"/>
    <w:rsid w:val="19C808E7"/>
    <w:rsid w:val="1A8F7D28"/>
    <w:rsid w:val="1AAD2820"/>
    <w:rsid w:val="1B0717C8"/>
    <w:rsid w:val="1BCB46BE"/>
    <w:rsid w:val="1BE33681"/>
    <w:rsid w:val="1C725160"/>
    <w:rsid w:val="1CAA0778"/>
    <w:rsid w:val="1DC046F7"/>
    <w:rsid w:val="1DDC6FC9"/>
    <w:rsid w:val="200E70FD"/>
    <w:rsid w:val="20653288"/>
    <w:rsid w:val="21862EC6"/>
    <w:rsid w:val="23111551"/>
    <w:rsid w:val="237A2B2A"/>
    <w:rsid w:val="251F61A7"/>
    <w:rsid w:val="25461C29"/>
    <w:rsid w:val="25D214DF"/>
    <w:rsid w:val="272E0DE6"/>
    <w:rsid w:val="2A911594"/>
    <w:rsid w:val="2B165956"/>
    <w:rsid w:val="2C4F36F5"/>
    <w:rsid w:val="2CF60F59"/>
    <w:rsid w:val="2D5F22BD"/>
    <w:rsid w:val="2DF53F49"/>
    <w:rsid w:val="2E5F5866"/>
    <w:rsid w:val="2FF37D11"/>
    <w:rsid w:val="3013049D"/>
    <w:rsid w:val="30457642"/>
    <w:rsid w:val="31AC6BB5"/>
    <w:rsid w:val="332C3D99"/>
    <w:rsid w:val="33303110"/>
    <w:rsid w:val="365875C5"/>
    <w:rsid w:val="365D6B2F"/>
    <w:rsid w:val="36B129D7"/>
    <w:rsid w:val="36B64491"/>
    <w:rsid w:val="378B76CC"/>
    <w:rsid w:val="39356049"/>
    <w:rsid w:val="3B4E60E4"/>
    <w:rsid w:val="3B903503"/>
    <w:rsid w:val="3BA71957"/>
    <w:rsid w:val="3BD878F0"/>
    <w:rsid w:val="3BFE2074"/>
    <w:rsid w:val="3F2C214D"/>
    <w:rsid w:val="3F3D5750"/>
    <w:rsid w:val="3F5C54AA"/>
    <w:rsid w:val="3F8B5063"/>
    <w:rsid w:val="3F8C7277"/>
    <w:rsid w:val="3FA0222F"/>
    <w:rsid w:val="3FA05CDE"/>
    <w:rsid w:val="40776A3F"/>
    <w:rsid w:val="41BC1DE0"/>
    <w:rsid w:val="41F77970"/>
    <w:rsid w:val="42D769B6"/>
    <w:rsid w:val="44000AFA"/>
    <w:rsid w:val="44BA15F0"/>
    <w:rsid w:val="44F600D3"/>
    <w:rsid w:val="45617704"/>
    <w:rsid w:val="462217EC"/>
    <w:rsid w:val="48B048DB"/>
    <w:rsid w:val="49045382"/>
    <w:rsid w:val="490948F4"/>
    <w:rsid w:val="4A4B0712"/>
    <w:rsid w:val="4A791606"/>
    <w:rsid w:val="4B8C0594"/>
    <w:rsid w:val="4C0F7B1B"/>
    <w:rsid w:val="4CFE380A"/>
    <w:rsid w:val="4D862B8C"/>
    <w:rsid w:val="4DFF35F5"/>
    <w:rsid w:val="4E1C6E78"/>
    <w:rsid w:val="4E2F0959"/>
    <w:rsid w:val="4EF47599"/>
    <w:rsid w:val="4FE3578A"/>
    <w:rsid w:val="51FA74D0"/>
    <w:rsid w:val="537A2677"/>
    <w:rsid w:val="54E94B5B"/>
    <w:rsid w:val="55661639"/>
    <w:rsid w:val="55761622"/>
    <w:rsid w:val="55A3066A"/>
    <w:rsid w:val="58A138EB"/>
    <w:rsid w:val="5B2916BE"/>
    <w:rsid w:val="5BD857FA"/>
    <w:rsid w:val="5C080481"/>
    <w:rsid w:val="5E202145"/>
    <w:rsid w:val="5F621BCD"/>
    <w:rsid w:val="6031647B"/>
    <w:rsid w:val="60F56782"/>
    <w:rsid w:val="61301F7E"/>
    <w:rsid w:val="61355718"/>
    <w:rsid w:val="61926DDD"/>
    <w:rsid w:val="61963763"/>
    <w:rsid w:val="6198016C"/>
    <w:rsid w:val="626F16E1"/>
    <w:rsid w:val="62F74A7A"/>
    <w:rsid w:val="648275DD"/>
    <w:rsid w:val="668E2223"/>
    <w:rsid w:val="66A10FDD"/>
    <w:rsid w:val="67AD544D"/>
    <w:rsid w:val="683026D9"/>
    <w:rsid w:val="689A6DDC"/>
    <w:rsid w:val="693F388B"/>
    <w:rsid w:val="6B062562"/>
    <w:rsid w:val="6DBA21A1"/>
    <w:rsid w:val="6E717AE4"/>
    <w:rsid w:val="6F082DD5"/>
    <w:rsid w:val="73731F46"/>
    <w:rsid w:val="74836A59"/>
    <w:rsid w:val="774A385E"/>
    <w:rsid w:val="78AF3D07"/>
    <w:rsid w:val="7930196F"/>
    <w:rsid w:val="793A6280"/>
    <w:rsid w:val="7A02392C"/>
    <w:rsid w:val="7A6A4943"/>
    <w:rsid w:val="7AF5051C"/>
    <w:rsid w:val="7BBA680A"/>
    <w:rsid w:val="7BE826AE"/>
    <w:rsid w:val="7C1E3C37"/>
    <w:rsid w:val="7CCF532E"/>
    <w:rsid w:val="7E0033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qFormat="1" w:uiPriority="99" w:semiHidden="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customStyle="1" w:styleId="2">
    <w:name w:val="Default"/>
    <w:next w:val="3"/>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styleId="3">
    <w:name w:val="index 6"/>
    <w:basedOn w:val="1"/>
    <w:next w:val="1"/>
    <w:unhideWhenUsed/>
    <w:qFormat/>
    <w:uiPriority w:val="99"/>
    <w:pPr>
      <w:ind w:left="2100"/>
    </w:pPr>
  </w:style>
  <w:style w:type="paragraph" w:styleId="5">
    <w:name w:val="Balloon Text"/>
    <w:basedOn w:val="1"/>
    <w:link w:val="38"/>
    <w:semiHidden/>
    <w:unhideWhenUsed/>
    <w:qFormat/>
    <w:uiPriority w:val="0"/>
    <w:rPr>
      <w:sz w:val="18"/>
      <w:szCs w:val="18"/>
    </w:rPr>
  </w:style>
  <w:style w:type="paragraph" w:styleId="6">
    <w:name w:val="footer"/>
    <w:basedOn w:val="1"/>
    <w:link w:val="30"/>
    <w:qFormat/>
    <w:uiPriority w:val="99"/>
    <w:pPr>
      <w:tabs>
        <w:tab w:val="center" w:pos="4153"/>
        <w:tab w:val="right" w:pos="8306"/>
      </w:tabs>
      <w:snapToGrid w:val="0"/>
      <w:jc w:val="left"/>
    </w:pPr>
    <w:rPr>
      <w:sz w:val="18"/>
      <w:szCs w:val="18"/>
    </w:rPr>
  </w:style>
  <w:style w:type="paragraph" w:styleId="7">
    <w:name w:val="header"/>
    <w:basedOn w:val="1"/>
    <w:link w:val="29"/>
    <w:qFormat/>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99"/>
    <w:pPr>
      <w:spacing w:before="100" w:beforeAutospacing="1" w:after="100" w:afterAutospacing="1"/>
      <w:jc w:val="left"/>
    </w:pPr>
    <w:rPr>
      <w:kern w:val="0"/>
      <w:sz w:val="24"/>
    </w:rPr>
  </w:style>
  <w:style w:type="table" w:styleId="10">
    <w:name w:val="Table Grid"/>
    <w:basedOn w:val="9"/>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2">
    <w:name w:val="Hyperlink"/>
    <w:basedOn w:val="11"/>
    <w:unhideWhenUsed/>
    <w:qFormat/>
    <w:uiPriority w:val="99"/>
    <w:rPr>
      <w:color w:val="0000FF"/>
      <w:u w:val="single"/>
    </w:rPr>
  </w:style>
  <w:style w:type="paragraph" w:customStyle="1" w:styleId="13">
    <w:name w:val="段"/>
    <w:link w:val="28"/>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4">
    <w:name w:val="正文表标题"/>
    <w:next w:val="13"/>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5">
    <w:name w:val="正文图标题"/>
    <w:next w:val="13"/>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6">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7">
    <w:name w:val="一级条标题"/>
    <w:next w:val="13"/>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8">
    <w:name w:val="章标题"/>
    <w:next w:val="13"/>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9">
    <w:name w:val="二级条标题"/>
    <w:basedOn w:val="17"/>
    <w:next w:val="13"/>
    <w:qFormat/>
    <w:uiPriority w:val="0"/>
    <w:pPr>
      <w:numPr>
        <w:ilvl w:val="2"/>
      </w:numPr>
      <w:spacing w:before="50" w:after="50"/>
      <w:outlineLvl w:val="3"/>
    </w:pPr>
  </w:style>
  <w:style w:type="paragraph" w:customStyle="1" w:styleId="20">
    <w:name w:val="三级条标题"/>
    <w:basedOn w:val="19"/>
    <w:next w:val="13"/>
    <w:qFormat/>
    <w:uiPriority w:val="0"/>
    <w:pPr>
      <w:numPr>
        <w:ilvl w:val="3"/>
      </w:numPr>
      <w:outlineLvl w:val="4"/>
    </w:pPr>
  </w:style>
  <w:style w:type="paragraph" w:customStyle="1" w:styleId="21">
    <w:name w:val="四级条标题"/>
    <w:basedOn w:val="20"/>
    <w:next w:val="13"/>
    <w:qFormat/>
    <w:uiPriority w:val="0"/>
    <w:pPr>
      <w:numPr>
        <w:ilvl w:val="4"/>
      </w:numPr>
      <w:outlineLvl w:val="5"/>
    </w:pPr>
  </w:style>
  <w:style w:type="paragraph" w:customStyle="1" w:styleId="22">
    <w:name w:val="五级条标题"/>
    <w:basedOn w:val="21"/>
    <w:next w:val="13"/>
    <w:qFormat/>
    <w:uiPriority w:val="0"/>
    <w:pPr>
      <w:numPr>
        <w:ilvl w:val="5"/>
      </w:numPr>
      <w:outlineLvl w:val="6"/>
    </w:pPr>
  </w:style>
  <w:style w:type="paragraph" w:customStyle="1" w:styleId="23">
    <w:name w:val="注："/>
    <w:next w:val="13"/>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4">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5">
    <w:name w:val="附录图标题"/>
    <w:basedOn w:val="1"/>
    <w:next w:val="13"/>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6">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7">
    <w:name w:val="图表脚注说明"/>
    <w:basedOn w:val="1"/>
    <w:qFormat/>
    <w:uiPriority w:val="0"/>
    <w:pPr>
      <w:numPr>
        <w:ilvl w:val="0"/>
        <w:numId w:val="7"/>
      </w:numPr>
    </w:pPr>
    <w:rPr>
      <w:rFonts w:ascii="宋体"/>
      <w:sz w:val="18"/>
      <w:szCs w:val="18"/>
    </w:rPr>
  </w:style>
  <w:style w:type="character" w:customStyle="1" w:styleId="28">
    <w:name w:val="段 Char"/>
    <w:basedOn w:val="11"/>
    <w:link w:val="13"/>
    <w:qFormat/>
    <w:uiPriority w:val="0"/>
    <w:rPr>
      <w:rFonts w:ascii="宋体"/>
      <w:sz w:val="21"/>
      <w:lang w:val="en-US" w:eastAsia="zh-CN" w:bidi="ar-SA"/>
    </w:rPr>
  </w:style>
  <w:style w:type="character" w:customStyle="1" w:styleId="29">
    <w:name w:val="页眉 字符"/>
    <w:basedOn w:val="11"/>
    <w:link w:val="7"/>
    <w:qFormat/>
    <w:uiPriority w:val="0"/>
    <w:rPr>
      <w:kern w:val="2"/>
      <w:sz w:val="18"/>
      <w:szCs w:val="18"/>
    </w:rPr>
  </w:style>
  <w:style w:type="character" w:customStyle="1" w:styleId="30">
    <w:name w:val="页脚 字符"/>
    <w:basedOn w:val="11"/>
    <w:link w:val="6"/>
    <w:qFormat/>
    <w:uiPriority w:val="99"/>
    <w:rPr>
      <w:kern w:val="2"/>
      <w:sz w:val="18"/>
      <w:szCs w:val="18"/>
    </w:rPr>
  </w:style>
  <w:style w:type="paragraph" w:customStyle="1" w:styleId="31">
    <w:name w:val="附录表标题"/>
    <w:basedOn w:val="1"/>
    <w:next w:val="13"/>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32">
    <w:name w:val="List Paragraph"/>
    <w:basedOn w:val="1"/>
    <w:unhideWhenUsed/>
    <w:qFormat/>
    <w:uiPriority w:val="34"/>
    <w:pPr>
      <w:ind w:firstLine="420" w:firstLineChars="200"/>
    </w:pPr>
  </w:style>
  <w:style w:type="paragraph" w:customStyle="1" w:styleId="3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4">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5">
    <w:name w:val="发布"/>
    <w:qFormat/>
    <w:uiPriority w:val="0"/>
    <w:rPr>
      <w:rFonts w:ascii="黑体" w:eastAsia="黑体"/>
      <w:spacing w:val="22"/>
      <w:w w:val="100"/>
      <w:position w:val="3"/>
      <w:sz w:val="28"/>
    </w:rPr>
  </w:style>
  <w:style w:type="paragraph" w:customStyle="1" w:styleId="36">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7">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8">
    <w:name w:val="批注框文本 字符"/>
    <w:basedOn w:val="11"/>
    <w:link w:val="5"/>
    <w:semiHidden/>
    <w:qFormat/>
    <w:uiPriority w:val="0"/>
    <w:rPr>
      <w:rFonts w:ascii="Times New Roman" w:hAnsi="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24</Pages>
  <Words>5504</Words>
  <Characters>5745</Characters>
  <Lines>2</Lines>
  <Paragraphs>5</Paragraphs>
  <TotalTime>3</TotalTime>
  <ScaleCrop>false</ScaleCrop>
  <LinksUpToDate>false</LinksUpToDate>
  <CharactersWithSpaces>5784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河中鱼</cp:lastModifiedBy>
  <cp:lastPrinted>2019-07-10T11:21:00Z</cp:lastPrinted>
  <dcterms:modified xsi:type="dcterms:W3CDTF">2026-06-28T13:11:55Z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484DF7F1BEB842158BCD0584349217B5</vt:lpwstr>
  </property>
  <property fmtid="{D5CDD505-2E9C-101B-9397-08002B2CF9AE}" pid="4" name="KSOTemplateDocerSaveRecord">
    <vt:lpwstr>eyJoZGlkIjoiZjFmZWIzNDg2MmIzZjExOTIzMmViNTBmYTMwYTk0ZWYiLCJ1c2VySWQiOiIxNjgzMDY0NzMzIn0=</vt:lpwstr>
  </property>
</Properties>
</file>